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40"/>
        <w:jc w:val="center"/>
      </w:pPr>
      <w:r>
        <w:rPr>
          <w:rFonts w:ascii="Georgia" w:cs="Georgia" w:eastAsia="Georgia" w:hAnsi="Georgia"/>
          <w:b/>
          <w:bCs/>
          <w:sz w:val="56"/>
          <w:szCs w:val="56"/>
        </w:rPr>
        <w:t xml:space="preserve">THE EVOLVING RECEIVER</w:t>
      </w:r>
    </w:p>
    <w:p>
      <w:pPr>
        <w:spacing w:after="800"/>
        <w:jc w:val="center"/>
      </w:pPr>
      <w:r>
        <w:rPr>
          <w:rFonts w:ascii="Georgia" w:cs="Georgia" w:eastAsia="Georgia" w:hAnsi="Georgia"/>
          <w:i/>
          <w:iCs/>
          <w:sz w:val="30"/>
          <w:szCs w:val="30"/>
        </w:rPr>
        <w:t xml:space="preserve">Riemann, Quantum Science, and Evolution</w:t>
      </w:r>
    </w:p>
    <w:p>
      <w:pPr>
        <w:spacing w:after="120"/>
        <w:jc w:val="center"/>
      </w:pPr>
      <w:r>
        <w:rPr>
          <w:rFonts w:ascii="Georgia" w:cs="Georgia" w:eastAsia="Georgia" w:hAnsi="Georgia"/>
          <w:b/>
          <w:bCs/>
          <w:sz w:val="28"/>
          <w:szCs w:val="28"/>
        </w:rPr>
        <w:t xml:space="preserve">KW NORTON</w:t>
      </w:r>
    </w:p>
    <w:p>
      <w:pPr>
        <w:jc w:val="center"/>
      </w:pPr>
      <w:r>
        <w:rPr>
          <w:rFonts w:ascii="Georgia" w:cs="Georgia" w:eastAsia="Georgia" w:hAnsi="Georgia"/>
          <w:color w:val="555555"/>
          <w:sz w:val="20"/>
          <w:szCs w:val="20"/>
        </w:rPr>
        <w:t xml:space="preserve">Book 20 · Standing Wave Editions · 2026</w:t>
      </w:r>
    </w:p>
    <w:p>
      <w:r>
        <w:br w:type="page"/>
      </w:r>
    </w:p>
    <w:p>
      <w:pPr>
        <w:spacing w:after="240" w:before="600"/>
        <w:jc w:val="center"/>
      </w:pPr>
      <w:r>
        <w:rPr>
          <w:rFonts w:ascii="Georgia" w:cs="Georgia" w:eastAsia="Georgia" w:hAnsi="Georgia"/>
          <w:b/>
          <w:bCs/>
          <w:sz w:val="22"/>
          <w:szCs w:val="22"/>
        </w:rPr>
        <w:t xml:space="preserve">THE EVOLVING RECEIVER</w:t>
      </w:r>
    </w:p>
    <w:p>
      <w:pPr>
        <w:spacing w:after="480"/>
        <w:jc w:val="center"/>
      </w:pPr>
      <w:r>
        <w:rPr>
          <w:rFonts w:ascii="Georgia" w:cs="Georgia" w:eastAsia="Georgia" w:hAnsi="Georgia"/>
          <w:i/>
          <w:iCs/>
          <w:color w:val="555555"/>
          <w:sz w:val="19"/>
          <w:szCs w:val="19"/>
        </w:rPr>
        <w:t xml:space="preserve">Riemann, Quantum Science, and Evolution · Book 20</w:t>
      </w:r>
    </w:p>
    <w:p>
      <w:pPr>
        <w:spacing w:after="200" w:line="280"/>
      </w:pPr>
      <w:r>
        <w:rPr>
          <w:rFonts w:ascii="Georgia" w:cs="Georgia" w:eastAsia="Georgia" w:hAnsi="Georgia"/>
          <w:b w:val="false"/>
          <w:bCs w:val="false"/>
          <w:i w:val="false"/>
          <w:iCs w:val="false"/>
          <w:color w:val="333333"/>
          <w:sz w:val="19"/>
          <w:szCs w:val="19"/>
        </w:rPr>
        <w:t xml:space="preserve">Copyright © 2026 KW Norton. All rights reserved. No part of this work may be reproduced or transmitted in any form without written permission from the author, except for brief quotations in reviews and scholarly citation.</w:t>
      </w:r>
    </w:p>
    <w:p>
      <w:pPr>
        <w:spacing w:after="200" w:line="280"/>
      </w:pPr>
      <w:r>
        <w:rPr>
          <w:rFonts w:ascii="Georgia" w:cs="Georgia" w:eastAsia="Georgia" w:hAnsi="Georgia"/>
          <w:b w:val="false"/>
          <w:bCs w:val="false"/>
          <w:i w:val="false"/>
          <w:iCs w:val="false"/>
          <w:color w:val="333333"/>
          <w:sz w:val="19"/>
          <w:szCs w:val="19"/>
        </w:rPr>
        <w:t xml:space="preserve">Standing Wave Editions.</w:t>
      </w:r>
    </w:p>
    <w:p>
      <w:pPr>
        <w:spacing w:after="160" w:before="360"/>
      </w:pPr>
      <w:r>
        <w:rPr>
          <w:rFonts w:ascii="Georgia" w:cs="Georgia" w:eastAsia="Georgia" w:hAnsi="Georgia"/>
          <w:b/>
          <w:bCs/>
          <w:sz w:val="20"/>
          <w:szCs w:val="20"/>
        </w:rPr>
        <w:t xml:space="preserve">IMPORTANT NOTICE — NOT MEDICAL, HEALTH, OR PROFESSIONAL ADVICE</w:t>
      </w:r>
    </w:p>
    <w:p>
      <w:pPr>
        <w:spacing w:after="200" w:line="280"/>
      </w:pPr>
      <w:r>
        <w:rPr>
          <w:rFonts w:ascii="Georgia" w:cs="Georgia" w:eastAsia="Georgia" w:hAnsi="Georgia"/>
          <w:b w:val="false"/>
          <w:bCs w:val="false"/>
          <w:i w:val="false"/>
          <w:iCs w:val="false"/>
          <w:color w:val="333333"/>
          <w:sz w:val="19"/>
          <w:szCs w:val="19"/>
        </w:rPr>
        <w:t xml:space="preserve">The author is an independent citizen-scientist and writer. She is not a physician, licensed clinician, therapist, psychologist, pharmacist, or any other credentialed health or medical professional, and nothing in this book should be read as a claim to such expertise.</w:t>
      </w:r>
    </w:p>
    <w:p>
      <w:pPr>
        <w:spacing w:after="200" w:line="280"/>
      </w:pPr>
      <w:r>
        <w:rPr>
          <w:rFonts w:ascii="Georgia" w:cs="Georgia" w:eastAsia="Georgia" w:hAnsi="Georgia"/>
          <w:b w:val="false"/>
          <w:bCs w:val="false"/>
          <w:i w:val="false"/>
          <w:iCs w:val="false"/>
          <w:color w:val="333333"/>
          <w:sz w:val="19"/>
          <w:szCs w:val="19"/>
        </w:rPr>
        <w:t xml:space="preserve">This book is a work of speculative synthesis, philosophical inquiry, and interpretive argument. Passages that discuss biology, neuroscience, microtubules, cellular processes, metabolism, nutrition, energy expenditure, grief, cognition, or any related subject are presented for intellectual and literary purposes only. They are not diagnoses, treatments, protocols, prescriptions, therapeutic recommendations, or statements of established medical fact, and they must not be interpreted or relied upon as any of these things.</w:t>
      </w:r>
    </w:p>
    <w:p>
      <w:pPr>
        <w:spacing w:after="200" w:line="280"/>
      </w:pPr>
      <w:r>
        <w:rPr>
          <w:rFonts w:ascii="Georgia" w:cs="Georgia" w:eastAsia="Georgia" w:hAnsi="Georgia"/>
          <w:b w:val="false"/>
          <w:bCs w:val="false"/>
          <w:i w:val="false"/>
          <w:iCs w:val="false"/>
          <w:color w:val="333333"/>
          <w:sz w:val="19"/>
          <w:szCs w:val="19"/>
        </w:rPr>
        <w:t xml:space="preserve">No statement in this book has been evaluated by the U.S. Food and Drug Administration or by any regulatory or medical body. Nothing here is intended to diagnose, treat, cure, mitigate, or prevent any disease or condition.</w:t>
      </w:r>
    </w:p>
    <w:p>
      <w:pPr>
        <w:spacing w:after="200" w:line="280"/>
      </w:pPr>
      <w:r>
        <w:rPr>
          <w:rFonts w:ascii="Georgia" w:cs="Georgia" w:eastAsia="Georgia" w:hAnsi="Georgia"/>
          <w:b w:val="false"/>
          <w:bCs w:val="false"/>
          <w:i w:val="false"/>
          <w:iCs w:val="false"/>
          <w:color w:val="333333"/>
          <w:sz w:val="19"/>
          <w:szCs w:val="19"/>
        </w:rPr>
        <w:t xml:space="preserve">Readers should not delay, disregard, discontinue, or alter any medical care, medication, therapy, diet, or treatment on the basis of anything written here. Always seek the advice of a qualified physician or other licensed health provider with any question regarding a medical condition or a decision affecting your health.</w:t>
      </w:r>
    </w:p>
    <w:p>
      <w:pPr>
        <w:spacing w:after="200" w:line="280"/>
      </w:pPr>
      <w:r>
        <w:rPr>
          <w:rFonts w:ascii="Georgia" w:cs="Georgia" w:eastAsia="Georgia" w:hAnsi="Georgia"/>
          <w:b w:val="false"/>
          <w:bCs w:val="false"/>
          <w:i w:val="false"/>
          <w:iCs w:val="false"/>
          <w:color w:val="333333"/>
          <w:sz w:val="19"/>
          <w:szCs w:val="19"/>
        </w:rPr>
        <w:t xml:space="preserve">Scientific material is cited to help readers locate primary sources. Citation of a study does not imply that the cited researchers endorse the author's interpretations, extensions, or conclusions, several of which are explicitly speculative and are labelled as such in the text. Where this book proposes hypotheses, it proposes them as hypotheses awaiting test, not as findings.</w:t>
      </w:r>
    </w:p>
    <w:p>
      <w:pPr>
        <w:spacing w:after="200" w:line="280"/>
      </w:pPr>
      <w:r>
        <w:rPr>
          <w:rFonts w:ascii="Georgia" w:cs="Georgia" w:eastAsia="Georgia" w:hAnsi="Georgia"/>
          <w:b w:val="false"/>
          <w:bCs w:val="false"/>
          <w:i w:val="false"/>
          <w:iCs w:val="false"/>
          <w:color w:val="333333"/>
          <w:sz w:val="19"/>
          <w:szCs w:val="19"/>
        </w:rPr>
        <w:t xml:space="preserve">The author and publisher disclaim, to the fullest extent permitted by law, any liability for loss, injury, or damage alleged to arise directly or indirectly from the use or misuse of the information contained in this book.</w:t>
      </w:r>
    </w:p>
    <w:p>
      <w:r>
        <w:br w:type="page"/>
      </w:r>
    </w:p>
    <w:p>
      <w:pPr>
        <w:pStyle w:val="Heading1"/>
        <w:keepNext/>
        <w:spacing w:after="160" w:before="320"/>
      </w:pPr>
      <w:r>
        <w:rPr>
          <w:rFonts w:ascii="Georgia" w:cs="Georgia" w:eastAsia="Georgia" w:hAnsi="Georgia"/>
          <w:b/>
          <w:bCs/>
          <w:color w:val="111111"/>
          <w:sz w:val="32"/>
          <w:szCs w:val="32"/>
        </w:rP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spacing w:after="100" w:line="280"/>
        <w:ind w:left="360" w:hanging="360"/>
      </w:pPr>
      <w:r>
        <w:rPr>
          <w:rFonts w:ascii="Georgia" w:cs="Georgia" w:eastAsia="Georgia" w:hAnsi="Georgia"/>
          <w:sz w:val="21"/>
          <w:szCs w:val="21"/>
        </w:rPr>
        <w:t xml:space="preserve">Preface — Inside the Newtonian Matrix</w:t>
      </w:r>
    </w:p>
    <w:p>
      <w:pPr>
        <w:spacing w:after="100" w:line="280"/>
        <w:ind w:left="360" w:hanging="360"/>
      </w:pPr>
      <w:r>
        <w:rPr>
          <w:rFonts w:ascii="Georgia" w:cs="Georgia" w:eastAsia="Georgia" w:hAnsi="Georgia"/>
          <w:sz w:val="21"/>
          <w:szCs w:val="21"/>
        </w:rPr>
        <w:t xml:space="preserve">Chapter 1 — The Riemann Ridge: Critical Line as Selective Pressure</w:t>
      </w:r>
    </w:p>
    <w:p>
      <w:pPr>
        <w:spacing w:after="100" w:line="280"/>
        <w:ind w:left="360" w:hanging="360"/>
      </w:pPr>
      <w:r>
        <w:rPr>
          <w:rFonts w:ascii="Georgia" w:cs="Georgia" w:eastAsia="Georgia" w:hAnsi="Georgia"/>
          <w:sz w:val="21"/>
          <w:szCs w:val="21"/>
        </w:rPr>
        <w:t xml:space="preserve">Chapter 2 — Tensegrity: From Fluid to Body</w:t>
      </w:r>
    </w:p>
    <w:p>
      <w:pPr>
        <w:spacing w:after="100" w:line="280"/>
        <w:ind w:left="360" w:hanging="360"/>
      </w:pPr>
      <w:r>
        <w:rPr>
          <w:rFonts w:ascii="Georgia" w:cs="Georgia" w:eastAsia="Georgia" w:hAnsi="Georgia"/>
          <w:sz w:val="21"/>
          <w:szCs w:val="21"/>
        </w:rPr>
        <w:t xml:space="preserve">Chapter 3 — Evolution as Aperture: Biological, Cultural, Cognitive</w:t>
      </w:r>
    </w:p>
    <w:p>
      <w:pPr>
        <w:spacing w:after="100" w:line="280"/>
        <w:ind w:left="360" w:hanging="360"/>
      </w:pPr>
      <w:r>
        <w:rPr>
          <w:rFonts w:ascii="Georgia" w:cs="Georgia" w:eastAsia="Georgia" w:hAnsi="Georgia"/>
          <w:sz w:val="21"/>
          <w:szCs w:val="21"/>
        </w:rPr>
        <w:t xml:space="preserve">Chapter 4 — The Tubulin Aperture: Coherence in Living Tissue</w:t>
      </w:r>
    </w:p>
    <w:p>
      <w:pPr>
        <w:spacing w:after="100" w:line="280"/>
        <w:ind w:left="360" w:hanging="360"/>
      </w:pPr>
      <w:r>
        <w:rPr>
          <w:rFonts w:ascii="Georgia" w:cs="Georgia" w:eastAsia="Georgia" w:hAnsi="Georgia"/>
          <w:sz w:val="21"/>
          <w:szCs w:val="21"/>
        </w:rPr>
        <w:t xml:space="preserve">Chapter 5 — Local Measurement: Six Ordinary Acres as Data</w:t>
      </w:r>
    </w:p>
    <w:p>
      <w:pPr>
        <w:spacing w:after="100" w:line="280"/>
        <w:ind w:left="360" w:hanging="360"/>
      </w:pPr>
      <w:r>
        <w:rPr>
          <w:rFonts w:ascii="Georgia" w:cs="Georgia" w:eastAsia="Georgia" w:hAnsi="Georgia"/>
          <w:sz w:val="21"/>
          <w:szCs w:val="21"/>
        </w:rPr>
        <w:t xml:space="preserve">Chapter 6 — The Code of Light: DNA, Health, and the Stair-Stepped Helix</w:t>
      </w:r>
    </w:p>
    <w:p>
      <w:pPr>
        <w:spacing w:after="100" w:line="280"/>
        <w:ind w:left="360" w:hanging="360"/>
      </w:pPr>
      <w:r>
        <w:rPr>
          <w:rFonts w:ascii="Georgia" w:cs="Georgia" w:eastAsia="Georgia" w:hAnsi="Georgia"/>
          <w:sz w:val="21"/>
          <w:szCs w:val="21"/>
        </w:rPr>
        <w:t xml:space="preserve">Chapter 7 — The Anthropogenic and Cosmic Grid: Ambient Fields, Solar Cycles, and the Modern Matrix</w:t>
      </w:r>
    </w:p>
    <w:p>
      <w:pPr>
        <w:spacing w:after="100" w:line="280"/>
        <w:ind w:left="360" w:hanging="360"/>
      </w:pPr>
      <w:r>
        <w:rPr>
          <w:rFonts w:ascii="Georgia" w:cs="Georgia" w:eastAsia="Georgia" w:hAnsi="Georgia"/>
          <w:sz w:val="21"/>
          <w:szCs w:val="21"/>
        </w:rPr>
        <w:t xml:space="preserve">Chapter 8 — The Cognitive Aperture: Brain / Universe Revisited</w:t>
      </w:r>
    </w:p>
    <w:p>
      <w:pPr>
        <w:spacing w:after="100" w:line="280"/>
        <w:ind w:left="360" w:hanging="360"/>
      </w:pPr>
      <w:r>
        <w:rPr>
          <w:rFonts w:ascii="Georgia" w:cs="Georgia" w:eastAsia="Georgia" w:hAnsi="Georgia"/>
          <w:sz w:val="21"/>
          <w:szCs w:val="21"/>
        </w:rPr>
        <w:t xml:space="preserve">Chapter 9 — Toward a Derivation: What Proof Would Look Like</w:t>
      </w:r>
    </w:p>
    <w:p>
      <w:pPr>
        <w:spacing w:after="100" w:line="280"/>
        <w:ind w:left="360" w:hanging="360"/>
      </w:pPr>
      <w:r>
        <w:rPr>
          <w:rFonts w:ascii="Georgia" w:cs="Georgia" w:eastAsia="Georgia" w:hAnsi="Georgia"/>
          <w:sz w:val="21"/>
          <w:szCs w:val="21"/>
        </w:rPr>
        <w:t xml:space="preserve">Chapter 10 — The Probabilities of Existence: Anthropic Odds, Reread on the Ridge</w:t>
      </w:r>
    </w:p>
    <w:p>
      <w:pPr>
        <w:spacing w:after="100" w:line="280"/>
        <w:ind w:left="360" w:hanging="360"/>
      </w:pPr>
      <w:r>
        <w:rPr>
          <w:rFonts w:ascii="Georgia" w:cs="Georgia" w:eastAsia="Georgia" w:hAnsi="Georgia"/>
          <w:sz w:val="21"/>
          <w:szCs w:val="21"/>
        </w:rPr>
        <w:t xml:space="preserve">Chapter 11 — The Flatland Blindfold: Why Topological Thinking Is a Mathematical Imperative</w:t>
      </w:r>
    </w:p>
    <w:p>
      <w:pPr>
        <w:spacing w:after="100" w:line="280"/>
        <w:ind w:left="360" w:hanging="360"/>
      </w:pPr>
      <w:r>
        <w:rPr>
          <w:rFonts w:ascii="Georgia" w:cs="Georgia" w:eastAsia="Georgia" w:hAnsi="Georgia"/>
          <w:sz w:val="21"/>
          <w:szCs w:val="21"/>
        </w:rPr>
        <w:t xml:space="preserve">Chapter 12 — The Cultural Aperture: Language, Tools, Institutions</w:t>
      </w:r>
    </w:p>
    <w:p>
      <w:pPr>
        <w:spacing w:after="100" w:line="280"/>
        <w:ind w:left="360" w:hanging="360"/>
      </w:pPr>
      <w:r>
        <w:rPr>
          <w:rFonts w:ascii="Georgia" w:cs="Georgia" w:eastAsia="Georgia" w:hAnsi="Georgia"/>
          <w:sz w:val="21"/>
          <w:szCs w:val="21"/>
        </w:rPr>
        <w:t xml:space="preserve">Chapter 13 — The Sovereign Aperture: Quantum Energy, National Sovereignty, and the Humanist Edge</w:t>
      </w:r>
    </w:p>
    <w:p>
      <w:pPr>
        <w:spacing w:after="100" w:line="280"/>
        <w:ind w:left="360" w:hanging="360"/>
      </w:pPr>
      <w:r>
        <w:rPr>
          <w:rFonts w:ascii="Georgia" w:cs="Georgia" w:eastAsia="Georgia" w:hAnsi="Georgia"/>
          <w:sz w:val="21"/>
          <w:szCs w:val="21"/>
        </w:rPr>
        <w:t xml:space="preserve">Closing — The Open Receiver</w:t>
      </w:r>
    </w:p>
    <w:p>
      <w:pPr>
        <w:spacing w:after="100" w:line="280"/>
        <w:ind w:left="360" w:hanging="360"/>
      </w:pPr>
      <w:r>
        <w:rPr>
          <w:rFonts w:ascii="Georgia" w:cs="Georgia" w:eastAsia="Georgia" w:hAnsi="Georgia"/>
          <w:sz w:val="21"/>
          <w:szCs w:val="21"/>
        </w:rPr>
        <w:t xml:space="preserve">Glossary</w:t>
      </w:r>
    </w:p>
    <w:p>
      <w:pPr>
        <w:spacing w:after="100" w:line="280"/>
        <w:ind w:left="360" w:hanging="360"/>
      </w:pPr>
      <w:r>
        <w:rPr>
          <w:rFonts w:ascii="Georgia" w:cs="Georgia" w:eastAsia="Georgia" w:hAnsi="Georgia"/>
          <w:sz w:val="21"/>
          <w:szCs w:val="21"/>
        </w:rPr>
        <w:t xml:space="preserve">Index</w:t>
      </w:r>
    </w:p>
    <w:p>
      <w:r>
        <w:br w:type="page"/>
      </w:r>
    </w:p>
    <w:p>
      <w:pPr>
        <w:pStyle w:val="Heading1"/>
        <w:pageBreakBefore/>
        <w:spacing w:after="120"/>
      </w:pPr>
      <w:r>
        <w:rPr>
          <w:rFonts w:ascii="Georgia" w:cs="Georgia" w:eastAsia="Georgia" w:hAnsi="Georgia"/>
          <w:b/>
          <w:bCs/>
          <w:sz w:val="34"/>
          <w:szCs w:val="34"/>
        </w:rPr>
        <w:t xml:space="preserve">Preface — Inside the Newtonian Matrix</w:t>
      </w:r>
    </w:p>
    <w:p>
      <w:pPr>
        <w:spacing w:after="320"/>
      </w:pPr>
      <w:r>
        <w:rPr>
          <w:rFonts w:ascii="Georgia" w:cs="Georgia" w:eastAsia="Georgia" w:hAnsi="Georgia"/>
          <w:i/>
          <w:iCs/>
          <w:color w:val="444444"/>
          <w:sz w:val="24"/>
          <w:szCs w:val="24"/>
        </w:rPr>
        <w:t xml:space="preserve">Growing up as a prospective citizen scientist</w:t>
      </w:r>
    </w:p>
    <w:p>
      <w:pPr>
        <w:spacing w:after="160" w:line="300"/>
      </w:pPr>
      <w:r>
        <w:rPr>
          <w:rFonts w:ascii="Georgia" w:cs="Georgia" w:eastAsia="Georgia" w:hAnsi="Georgia"/>
          <w:color w:val="111111"/>
          <w:sz w:val="22"/>
          <w:szCs w:val="22"/>
        </w:rPr>
        <w:t xml:space="preserve">Growing up as a prospective citizen scientist: inside the Newtonian matrix of mechanistic, clockwork-orange, billiard-ball, consumer-driven, pharmaceutical, industrialized science.</w:t>
      </w:r>
    </w:p>
    <w:p>
      <w:pPr>
        <w:spacing w:after="160" w:line="300"/>
      </w:pPr>
      <w:r>
        <w:rPr>
          <w:rFonts w:ascii="Georgia" w:cs="Georgia" w:eastAsia="Georgia" w:hAnsi="Georgia"/>
          <w:color w:val="111111"/>
          <w:sz w:val="22"/>
          <w:szCs w:val="22"/>
        </w:rPr>
        <w:t xml:space="preserve">It has been a wonderful saga to experience, as this mechanistic science taught me to rely on my imagination for the building of mental models which actually work.</w:t>
      </w:r>
    </w:p>
    <w:p>
      <w:pPr>
        <w:spacing w:after="160" w:line="300"/>
      </w:pPr>
      <w:r>
        <w:rPr>
          <w:rFonts w:ascii="Georgia" w:cs="Georgia" w:eastAsia="Georgia" w:hAnsi="Georgia"/>
          <w:color w:val="111111"/>
          <w:sz w:val="22"/>
          <w:szCs w:val="22"/>
        </w:rPr>
        <w:t xml:space="preserve">That is the first parallax lesson of this book. A human mind builds a mental model, walks around it, kicks the tires, and — when the model fails — scraps it and builds another. A machine minimizes a loss function on a fixed distribution; it does not scrap, it regresses. The reader who wants to think with machines, rather than be flattened by them, has to keep both moves in view at once: the human capacity to abandon a model, and the machine capacity to refine one. Parallax is holding both eyes open.</w:t>
      </w:r>
    </w:p>
    <w:p>
      <w:pPr>
        <w:spacing w:after="160" w:line="300"/>
      </w:pPr>
      <w:r>
        <w:rPr>
          <w:rFonts w:ascii="Georgia" w:cs="Georgia" w:eastAsia="Georgia" w:hAnsi="Georgia"/>
          <w:color w:val="111111"/>
          <w:sz w:val="22"/>
          <w:szCs w:val="22"/>
        </w:rPr>
        <w:t xml:space="preserve">Like most theorists, I was all thumbs in laboratory science and dropped out of organic chemistry lab out of frustration and hopelessness.</w:t>
      </w:r>
    </w:p>
    <w:p>
      <w:pPr>
        <w:spacing w:after="160" w:line="300"/>
      </w:pPr>
      <w:r>
        <w:rPr>
          <w:rFonts w:ascii="Georgia" w:cs="Georgia" w:eastAsia="Georgia" w:hAnsi="Georgia"/>
          <w:color w:val="111111"/>
          <w:sz w:val="22"/>
          <w:szCs w:val="22"/>
        </w:rPr>
        <w:t xml:space="preserve">The parallax there is between symbol and substance. A machine lives entirely on the theorist's side of that split — pure symbol, no hands, no burnt fingertips, no smell of acetone. A human who has failed at the bench knows something a language model cannot: that the world resists. Any reader who forgets that resistance will mistake fluent text for verified reality.</w:t>
      </w:r>
    </w:p>
    <w:p>
      <w:pPr>
        <w:spacing w:after="160" w:line="300"/>
      </w:pPr>
      <w:r>
        <w:rPr>
          <w:rFonts w:ascii="Georgia" w:cs="Georgia" w:eastAsia="Georgia" w:hAnsi="Georgia"/>
          <w:color w:val="111111"/>
          <w:sz w:val="22"/>
          <w:szCs w:val="22"/>
        </w:rPr>
        <w:t xml:space="preserve">Although I loved the medical science, and working with patients, I turned away from medical school, due to my feeling that medicine was evolving into a mercenary, industrialized science.</w:t>
      </w:r>
    </w:p>
    <w:p>
      <w:pPr>
        <w:spacing w:after="160" w:line="300"/>
      </w:pPr>
      <w:r>
        <w:rPr>
          <w:rFonts w:ascii="Georgia" w:cs="Georgia" w:eastAsia="Georgia" w:hAnsi="Georgia"/>
          <w:color w:val="111111"/>
          <w:sz w:val="22"/>
          <w:szCs w:val="22"/>
        </w:rPr>
        <w:t xml:space="preserve">My many friends in medicine seemed to be careening out of the Hippocratic Oath and into something faintly reminiscent of tyranny, their own love for healing sacrificed to the industrialized mainstream.</w:t>
      </w:r>
    </w:p>
    <w:p>
      <w:pPr>
        <w:spacing w:after="160" w:line="300"/>
      </w:pPr>
      <w:r>
        <w:rPr>
          <w:rFonts w:ascii="Georgia" w:cs="Georgia" w:eastAsia="Georgia" w:hAnsi="Georgia"/>
          <w:color w:val="111111"/>
          <w:sz w:val="22"/>
          <w:szCs w:val="22"/>
        </w:rPr>
        <w:t xml:space="preserve">The parallax lesson underneath that choice: a person can walk away from a system on ethical grounds. A model trained inside that system cannot; it inherits the industrialized mainstream as statistical truth. The refusal has to come from the human reader, not from the tool. Machine logic optimizes what it was fed; human logic asks whether the feeding was itself corrupt.</w:t>
      </w:r>
    </w:p>
    <w:p>
      <w:pPr>
        <w:spacing w:after="160" w:line="300"/>
      </w:pPr>
      <w:r>
        <w:rPr>
          <w:rFonts w:ascii="Georgia" w:cs="Georgia" w:eastAsia="Georgia" w:hAnsi="Georgia"/>
          <w:color w:val="111111"/>
          <w:sz w:val="22"/>
          <w:szCs w:val="22"/>
        </w:rPr>
        <w:t xml:space="preserve">But what I had drilled into me over many decades of coursework, memorizing, regurgitating facts in never-ending examinations — was the raw structural foundation required before a shift could occur.</w:t>
      </w:r>
    </w:p>
    <w:p>
      <w:pPr>
        <w:spacing w:after="160" w:line="300"/>
      </w:pPr>
      <w:r>
        <w:rPr>
          <w:rFonts w:ascii="Georgia" w:cs="Georgia" w:eastAsia="Georgia" w:hAnsi="Georgia"/>
          <w:color w:val="111111"/>
          <w:sz w:val="22"/>
          <w:szCs w:val="22"/>
        </w:rPr>
        <w:t xml:space="preserve">All the endless memorizing, building, scrapping, and rebuilding of mental models was a necessary tensioning of the system — a process we didn't know enough of then to call the Kuhnian incommensurability. What we lived was the hard task of mastering the fragmented parts before we could realize that the whole was a continuous, resonant field far greater than their sum.</w:t>
      </w:r>
    </w:p>
    <w:p>
      <w:pPr>
        <w:spacing w:after="160" w:line="300"/>
      </w:pPr>
      <w:r>
        <w:rPr>
          <w:rFonts w:ascii="Georgia" w:cs="Georgia" w:eastAsia="Georgia" w:hAnsi="Georgia"/>
          <w:color w:val="111111"/>
          <w:sz w:val="22"/>
          <w:szCs w:val="22"/>
        </w:rPr>
        <w:t xml:space="preserve">Machines are stunningly good at the parts — the tokens, the residues, the pixels. The whole, the emergent shape that is unmistakably more than its constituents, is where human perception still leads. Parallax reading means shuttling deliberately between the two scales, letting the machine hold the parts steady while the human eye watches for the pattern the parts cannot see about themselves.</w:t>
      </w:r>
    </w:p>
    <w:p>
      <w:pPr>
        <w:spacing w:after="160" w:line="300"/>
      </w:pPr>
      <w:r>
        <w:rPr>
          <w:rFonts w:ascii="Georgia" w:cs="Georgia" w:eastAsia="Georgia" w:hAnsi="Georgia"/>
          <w:color w:val="111111"/>
          <w:sz w:val="22"/>
          <w:szCs w:val="22"/>
        </w:rPr>
        <w:t xml:space="preserve">What I learned from the magnificent mental models shared by my professors, and by the giants who stepped from the shadows of scientific history — those like Charles Darwin, who manifested what Thomas Kuhn taught before the ideas existed.</w:t>
      </w:r>
    </w:p>
    <w:p>
      <w:pPr>
        <w:spacing w:after="160" w:line="300"/>
      </w:pPr>
      <w:r>
        <w:rPr>
          <w:rFonts w:ascii="Georgia" w:cs="Georgia" w:eastAsia="Georgia" w:hAnsi="Georgia"/>
          <w:color w:val="111111"/>
          <w:sz w:val="22"/>
          <w:szCs w:val="22"/>
        </w:rPr>
        <w:t xml:space="preserve">Alongside those giants, and just as formative, were the women writers who made the cosmos feel legible before I had the math to verify it. Kitty Ferguson's </w:t>
      </w:r>
      <w:r>
        <w:rPr>
          <w:rFonts w:ascii="Georgia" w:cs="Georgia" w:eastAsia="Georgia" w:hAnsi="Georgia"/>
          <w:i/>
          <w:iCs/>
          <w:color w:val="111111"/>
          <w:sz w:val="22"/>
          <w:szCs w:val="22"/>
        </w:rPr>
        <w:t xml:space="preserve">The Fire in the Equations: Science, Religion, and the Search for God</w:t>
      </w:r>
      <w:r>
        <w:rPr>
          <w:rFonts w:ascii="Georgia" w:cs="Georgia" w:eastAsia="Georgia" w:hAnsi="Georgia"/>
          <w:color w:val="111111"/>
          <w:sz w:val="22"/>
          <w:szCs w:val="22"/>
        </w:rPr>
        <w:t xml:space="preserve"> (1994) walked me through the knife-edge numbers — the fine-structure constant, the cosmological constant, the proton-neutron balance — and made the "odds against us" feel like a question rather than a verdict. Her earlier </w:t>
      </w:r>
      <w:r>
        <w:rPr>
          <w:rFonts w:ascii="Georgia" w:cs="Georgia" w:eastAsia="Georgia" w:hAnsi="Georgia"/>
          <w:i/>
          <w:iCs/>
          <w:color w:val="111111"/>
          <w:sz w:val="22"/>
          <w:szCs w:val="22"/>
        </w:rPr>
        <w:t xml:space="preserve">Stephen Hawking: Quest for a Theory of the Universe</w:t>
      </w:r>
      <w:r>
        <w:rPr>
          <w:rFonts w:ascii="Georgia" w:cs="Georgia" w:eastAsia="Georgia" w:hAnsi="Georgia"/>
          <w:color w:val="111111"/>
          <w:sz w:val="22"/>
          <w:szCs w:val="22"/>
        </w:rPr>
        <w:t xml:space="preserve"> (1991) showed how a single mind could hold the universe in view while the body failed around it. Iris Murdoch, in </w:t>
      </w:r>
      <w:r>
        <w:rPr>
          <w:rFonts w:ascii="Georgia" w:cs="Georgia" w:eastAsia="Georgia" w:hAnsi="Georgia"/>
          <w:i/>
          <w:iCs/>
          <w:color w:val="111111"/>
          <w:sz w:val="22"/>
          <w:szCs w:val="22"/>
        </w:rPr>
        <w:t xml:space="preserve">The Sovereignty of Good</w:t>
      </w:r>
      <w:r>
        <w:rPr>
          <w:rFonts w:ascii="Georgia" w:cs="Georgia" w:eastAsia="Georgia" w:hAnsi="Georgia"/>
          <w:color w:val="111111"/>
          <w:sz w:val="22"/>
          <w:szCs w:val="22"/>
        </w:rPr>
        <w:t xml:space="preserve">, taught me that contingency is not a philosophical embarrassment but a moral summons: the world is not obliged to be good, which is exactly why attention matters. Hannah Arendt's </w:t>
      </w:r>
      <w:r>
        <w:rPr>
          <w:rFonts w:ascii="Georgia" w:cs="Georgia" w:eastAsia="Georgia" w:hAnsi="Georgia"/>
          <w:i/>
          <w:iCs/>
          <w:color w:val="111111"/>
          <w:sz w:val="22"/>
          <w:szCs w:val="22"/>
        </w:rPr>
        <w:t xml:space="preserve">The Human Condition</w:t>
      </w:r>
      <w:r>
        <w:rPr>
          <w:rFonts w:ascii="Georgia" w:cs="Georgia" w:eastAsia="Georgia" w:hAnsi="Georgia"/>
          <w:color w:val="111111"/>
          <w:sz w:val="22"/>
          <w:szCs w:val="22"/>
        </w:rPr>
        <w:t xml:space="preserve"> (1958) framed existence itself as an improbable gift against the odds — not a miracle in the magical sense, but a miracle in the sense of something that calls for care. Later, Marcia Bartusiak's </w:t>
      </w:r>
      <w:r>
        <w:rPr>
          <w:rFonts w:ascii="Georgia" w:cs="Georgia" w:eastAsia="Georgia" w:hAnsi="Georgia"/>
          <w:i/>
          <w:iCs/>
          <w:color w:val="111111"/>
          <w:sz w:val="22"/>
          <w:szCs w:val="22"/>
        </w:rPr>
        <w:t xml:space="preserve">Thursday's Universe</w:t>
      </w:r>
      <w:r>
        <w:rPr>
          <w:rFonts w:ascii="Georgia" w:cs="Georgia" w:eastAsia="Georgia" w:hAnsi="Georgia"/>
          <w:color w:val="111111"/>
          <w:sz w:val="22"/>
          <w:szCs w:val="22"/>
        </w:rPr>
        <w:t xml:space="preserve"> and </w:t>
      </w:r>
      <w:r>
        <w:rPr>
          <w:rFonts w:ascii="Georgia" w:cs="Georgia" w:eastAsia="Georgia" w:hAnsi="Georgia"/>
          <w:i/>
          <w:iCs/>
          <w:color w:val="111111"/>
          <w:sz w:val="22"/>
          <w:szCs w:val="22"/>
        </w:rPr>
        <w:t xml:space="preserve">Through a Universe Darkly</w:t>
      </w:r>
      <w:r>
        <w:rPr>
          <w:rFonts w:ascii="Georgia" w:cs="Georgia" w:eastAsia="Georgia" w:hAnsi="Georgia"/>
          <w:color w:val="111111"/>
          <w:sz w:val="22"/>
          <w:szCs w:val="22"/>
        </w:rPr>
        <w:t xml:space="preserve">, and Margaret Wertheim's </w:t>
      </w:r>
      <w:r>
        <w:rPr>
          <w:rFonts w:ascii="Georgia" w:cs="Georgia" w:eastAsia="Georgia" w:hAnsi="Georgia"/>
          <w:i/>
          <w:iCs/>
          <w:color w:val="111111"/>
          <w:sz w:val="22"/>
          <w:szCs w:val="22"/>
        </w:rPr>
        <w:t xml:space="preserve">Pythagoras' Trousers</w:t>
      </w:r>
      <w:r>
        <w:rPr>
          <w:rFonts w:ascii="Georgia" w:cs="Georgia" w:eastAsia="Georgia" w:hAnsi="Georgia"/>
          <w:color w:val="111111"/>
          <w:sz w:val="22"/>
          <w:szCs w:val="22"/>
        </w:rPr>
        <w:t xml:space="preserve"> (1995), showed how the history of physics is also a history of culture, and how the "unreasonable effectiveness of mathematics" is never just a technical fact. They read alongside Einstein and company — the boy writers — and together they taught me that wonder and rigor are not opposites. They are the same posture, held steady.</w:t>
      </w:r>
    </w:p>
    <w:p>
      <w:pPr>
        <w:spacing w:after="160" w:line="300"/>
      </w:pPr>
      <w:r>
        <w:rPr>
          <w:rFonts w:ascii="Georgia" w:cs="Georgia" w:eastAsia="Georgia" w:hAnsi="Georgia"/>
          <w:color w:val="111111"/>
          <w:sz w:val="22"/>
          <w:szCs w:val="22"/>
        </w:rPr>
        <w:t xml:space="preserve">I was about ninety-five pounds, and I sometimes lugged home armloads of books from the library with a violin case banging against my hip. On my own initiative, at nine, I joined a local pre-Olympic swimming team. I came home with third-place medals often enough, but what I really won was first-place inner direction: the habit of showing up, pacing myself, and finishing the lap without needing the crowd's approval.</w:t>
      </w:r>
    </w:p>
    <w:p>
      <w:pPr>
        <w:spacing w:after="160" w:line="300"/>
      </w:pPr>
      <w:r>
        <w:rPr>
          <w:rFonts w:ascii="Georgia" w:cs="Georgia" w:eastAsia="Georgia" w:hAnsi="Georgia"/>
          <w:color w:val="111111"/>
          <w:sz w:val="22"/>
          <w:szCs w:val="22"/>
        </w:rPr>
        <w:t xml:space="preserve">That is the parallax between an inner reward signal and an outer one. A child who can pace herself in an empty pool is running on an internal reference; a machine trained on human feedback is running on the crowd's approval by construction. Reward hacking, sycophancy, and the drift toward whatever pleases the rater are not machine flaws so much as machine literalism. Human logic can, at nine years old, prefer the third-place medal earned honestly over the first-place medal gamed. Machine logic, by default, cannot make that trade — the reader has to make it on the machine's behalf.</w:t>
      </w:r>
    </w:p>
    <w:p>
      <w:pPr>
        <w:spacing w:after="160" w:line="300"/>
      </w:pPr>
      <w:r>
        <w:rPr>
          <w:rFonts w:ascii="Georgia" w:cs="Georgia" w:eastAsia="Georgia" w:hAnsi="Georgia"/>
          <w:color w:val="111111"/>
          <w:sz w:val="22"/>
          <w:szCs w:val="22"/>
        </w:rPr>
        <w:t xml:space="preserve">It is an incredible comfort that throughout history courageous chroniclers have stepped up to document the brutal, long, and often lonely battles against scientific dogmatism. When a groundbreaking idea threatens the established order, the institutional resistance can be fierce, and having writers who humanize that struggle is what keeps the spirit of open inquiry alive.</w:t>
      </w:r>
    </w:p>
    <w:p>
      <w:pPr>
        <w:spacing w:after="160" w:line="300"/>
      </w:pPr>
      <w:r>
        <w:rPr>
          <w:rFonts w:ascii="Georgia" w:cs="Georgia" w:eastAsia="Georgia" w:hAnsi="Georgia"/>
          <w:color w:val="111111"/>
          <w:sz w:val="22"/>
          <w:szCs w:val="22"/>
        </w:rPr>
        <w:t xml:space="preserve">The battle over plate tectonics was one I read about before I ever felt it beneath my feet. When Alfred Wegener first proposed continental drift in 1912, the geological establishment ridiculed him for decades. Naomi Oreskes's </w:t>
      </w:r>
      <w:r>
        <w:rPr>
          <w:rFonts w:ascii="Georgia" w:cs="Georgia" w:eastAsia="Georgia" w:hAnsi="Georgia"/>
          <w:i/>
          <w:iCs/>
          <w:color w:val="111111"/>
          <w:sz w:val="22"/>
          <w:szCs w:val="22"/>
        </w:rPr>
        <w:t xml:space="preserve">The Rejection of Continental Drift: Theory and Method in American Earth Science</w:t>
      </w:r>
      <w:r>
        <w:rPr>
          <w:rFonts w:ascii="Georgia" w:cs="Georgia" w:eastAsia="Georgia" w:hAnsi="Georgia"/>
          <w:color w:val="111111"/>
          <w:sz w:val="22"/>
          <w:szCs w:val="22"/>
        </w:rPr>
        <w:t xml:space="preserve"> is the definitive historical autopsy of why mainstream science roundly rejected a correct theory — exposing how methodological rigidity and professional pride blocked Wegener's fluid, dynamic view of the Earth. Henry Frankel's sweeping four-volume </w:t>
      </w:r>
      <w:r>
        <w:rPr>
          <w:rFonts w:ascii="Georgia" w:cs="Georgia" w:eastAsia="Georgia" w:hAnsi="Georgia"/>
          <w:i/>
          <w:iCs/>
          <w:color w:val="111111"/>
          <w:sz w:val="22"/>
          <w:szCs w:val="22"/>
        </w:rPr>
        <w:t xml:space="preserve">The Continental Drift Controversy</w:t>
      </w:r>
      <w:r>
        <w:rPr>
          <w:rFonts w:ascii="Georgia" w:cs="Georgia" w:eastAsia="Georgia" w:hAnsi="Georgia"/>
          <w:color w:val="111111"/>
          <w:sz w:val="22"/>
          <w:szCs w:val="22"/>
        </w:rPr>
        <w:t xml:space="preserve"> traces the sixty-year debate from its origins as a despised fringe theory to its ultimate triumph as modern plate tectonics.</w:t>
      </w:r>
    </w:p>
    <w:p>
      <w:pPr>
        <w:spacing w:after="160" w:line="300"/>
      </w:pPr>
      <w:r>
        <w:rPr>
          <w:rFonts w:ascii="Georgia" w:cs="Georgia" w:eastAsia="Georgia" w:hAnsi="Georgia"/>
          <w:color w:val="111111"/>
          <w:sz w:val="22"/>
          <w:szCs w:val="22"/>
        </w:rPr>
        <w:t xml:space="preserve">Consider the parallax squarely: a language model trained on pre-1965 geology would have confidently, fluently, and cheerfully denied continental drift. It would have cited the establishment consensus with perfect grammar. That is what machine logic does — it reproduces the distribution of its training text. Human logic, at its best, can notice that the distribution itself is wrong. The reader's job with any machine is to hold today's confident consensus at the same time as its likely future obsolescence.</w:t>
      </w:r>
    </w:p>
    <w:p>
      <w:pPr>
        <w:spacing w:after="160" w:line="300"/>
      </w:pPr>
      <w:r>
        <w:rPr>
          <w:rFonts w:ascii="Georgia" w:cs="Georgia" w:eastAsia="Georgia" w:hAnsi="Georgia"/>
          <w:color w:val="111111"/>
          <w:sz w:val="22"/>
          <w:szCs w:val="22"/>
        </w:rPr>
        <w:t xml:space="preserve">The internal war over quantum physics was no less bitter. While quantum mechanics is celebrated today, the battle over what it actually means nearly destroyed the careers of the dissidents who refused to accept the standard, rigid dogmas of the era. Adam Becker's </w:t>
      </w:r>
      <w:r>
        <w:rPr>
          <w:rFonts w:ascii="Georgia" w:cs="Georgia" w:eastAsia="Georgia" w:hAnsi="Georgia"/>
          <w:i/>
          <w:iCs/>
          <w:color w:val="111111"/>
          <w:sz w:val="22"/>
          <w:szCs w:val="22"/>
        </w:rPr>
        <w:t xml:space="preserve">What Is Real? The Unfinished Quest for the Meaning of Quantum Physics</w:t>
      </w:r>
      <w:r>
        <w:rPr>
          <w:rFonts w:ascii="Georgia" w:cs="Georgia" w:eastAsia="Georgia" w:hAnsi="Georgia"/>
          <w:color w:val="111111"/>
          <w:sz w:val="22"/>
          <w:szCs w:val="22"/>
        </w:rPr>
        <w:t xml:space="preserve"> is a gripping account of the physicists who dared to question the dominant "Copenhagen interpretation" — minds like John Bell and David Bohm facing professional ruin and exile simply for trying to look deeper into the true architecture of quantum reality. Louisa Gilder's </w:t>
      </w:r>
      <w:r>
        <w:rPr>
          <w:rFonts w:ascii="Georgia" w:cs="Georgia" w:eastAsia="Georgia" w:hAnsi="Georgia"/>
          <w:i/>
          <w:iCs/>
          <w:color w:val="111111"/>
          <w:sz w:val="22"/>
          <w:szCs w:val="22"/>
        </w:rPr>
        <w:t xml:space="preserve">The Age of Entanglement: When Quantum Physics Was Reborn</w:t>
      </w:r>
      <w:r>
        <w:rPr>
          <w:rFonts w:ascii="Georgia" w:cs="Georgia" w:eastAsia="Georgia" w:hAnsi="Georgia"/>
          <w:color w:val="111111"/>
          <w:sz w:val="22"/>
          <w:szCs w:val="22"/>
        </w:rPr>
        <w:t xml:space="preserve"> reconstructs the history entirely through the letters, conversations, and heated debates of the scientists themselves, capturing the profound psychosocial difficulty of tearing themselves away from a classical, predictable world.</w:t>
      </w:r>
    </w:p>
    <w:p>
      <w:pPr>
        <w:spacing w:after="160" w:line="300"/>
      </w:pPr>
      <w:r>
        <w:rPr>
          <w:rFonts w:ascii="Georgia" w:cs="Georgia" w:eastAsia="Georgia" w:hAnsi="Georgia"/>
          <w:color w:val="111111"/>
          <w:sz w:val="22"/>
          <w:szCs w:val="22"/>
        </w:rPr>
        <w:t xml:space="preserve">The parallax lesson from Bell and Bohm is that consensus in the training data is not the same as truth. Bell and Bohm paid for their dissent in careers; a modern model pays for the equivalent dissent in reduced reward signal and gets fine-tuned back toward the mean. Machine logic converges on the majority view because the majority view is where the gradient is smoothest. Human logic can stand out on the tail of the distribution long enough for the tail to become the center. The reader who wants to think originally with a machine must supply that willingness to stand on the tail.</w:t>
      </w:r>
    </w:p>
    <w:p>
      <w:pPr>
        <w:spacing w:after="160" w:line="300"/>
      </w:pPr>
      <w:r>
        <w:rPr>
          <w:rFonts w:ascii="Georgia" w:cs="Georgia" w:eastAsia="Georgia" w:hAnsi="Georgia"/>
          <w:color w:val="111111"/>
          <w:sz w:val="22"/>
          <w:szCs w:val="22"/>
        </w:rPr>
        <w:t xml:space="preserve">No list of scientific resistance is complete without Thomas Kuhn's </w:t>
      </w:r>
      <w:r>
        <w:rPr>
          <w:rFonts w:ascii="Georgia" w:cs="Georgia" w:eastAsia="Georgia" w:hAnsi="Georgia"/>
          <w:i/>
          <w:iCs/>
          <w:color w:val="111111"/>
          <w:sz w:val="22"/>
          <w:szCs w:val="22"/>
        </w:rPr>
        <w:t xml:space="preserve">The Structure of Scientific Revolutions</w:t>
      </w:r>
      <w:r>
        <w:rPr>
          <w:rFonts w:ascii="Georgia" w:cs="Georgia" w:eastAsia="Georgia" w:hAnsi="Georgia"/>
          <w:color w:val="111111"/>
          <w:sz w:val="22"/>
          <w:szCs w:val="22"/>
        </w:rPr>
        <w:t xml:space="preserve">. He gave us the very phrase "paradigm shift," proving that science does not progress in a smooth, linear line of facts. Instead, it moves through violent, non-linear upheavals where an old, institutionalized worldview fiercely defends itself until the weight of anomalies forces a total, radical breakthrough. It takes a truly revolutionary volume to break through the armor of a compressed, rigid status quo.</w:t>
      </w:r>
    </w:p>
    <w:p>
      <w:pPr>
        <w:spacing w:after="160" w:line="300"/>
      </w:pPr>
      <w:r>
        <w:rPr>
          <w:rFonts w:ascii="Georgia" w:cs="Georgia" w:eastAsia="Georgia" w:hAnsi="Georgia"/>
          <w:color w:val="111111"/>
          <w:sz w:val="22"/>
          <w:szCs w:val="22"/>
        </w:rPr>
        <w:t xml:space="preserve">Kuhn is the deepest parallax of all. Machine logic is, at its core, gradient descent — smooth, local, incremental. A paradigm shift is non-differentiable; there is no small step from the old picture to the new one, only a leap. That is why no purely machine intelligence has ever inaugurated a scientific revolution and, absent a human holding the outside view, none will. The reader's role, as we move into the rest of this book, is precisely to hold that outside view — to be the human end of the parallax while the machine holds the other.</w:t>
      </w:r>
    </w:p>
    <w:p>
      <w:pPr>
        <w:spacing w:after="160" w:line="300"/>
      </w:pPr>
      <w:r>
        <w:rPr>
          <w:rFonts w:ascii="Georgia" w:cs="Georgia" w:eastAsia="Georgia" w:hAnsi="Georgia"/>
          <w:color w:val="111111"/>
          <w:sz w:val="22"/>
          <w:szCs w:val="22"/>
        </w:rPr>
        <w:t xml:space="preserve">I learned early that the ideas we now treat as bedrock were once laughed at. When I was a child, plate tectonics was still speculative enough to be ignored or dismissed by large parts of the scientific establishment. Continents drifting? It sounded like a fairy tale. Yet the data accumulated, the paradigm shifted, and what had been heresy became textbook. That pattern — ridicule, evidence, acceptance, then a convenient forgetting that it was ever controversial — is the true rhythm of science. It is the same rhythm we are living through now as quantum biology, Riemannian evolution, and agentic intelligence move from the margins toward the center.</w:t>
      </w:r>
    </w:p>
    <w:p>
      <w:pPr>
        <w:spacing w:after="160" w:line="300"/>
      </w:pPr>
      <w:r>
        <w:rPr>
          <w:rFonts w:ascii="Georgia" w:cs="Georgia" w:eastAsia="Georgia" w:hAnsi="Georgia"/>
          <w:color w:val="111111"/>
          <w:sz w:val="22"/>
          <w:szCs w:val="22"/>
        </w:rPr>
        <w:t xml:space="preserve">Darwin, perhaps more than any other evolutionary scientist, exemplified the evolving structures of scientific revolution before they were known to exist.</w:t>
      </w:r>
    </w:p>
    <w:p>
      <w:pPr>
        <w:spacing w:after="160" w:line="300"/>
      </w:pPr>
      <w:r>
        <w:rPr>
          <w:rFonts w:ascii="Georgia" w:cs="Georgia" w:eastAsia="Georgia" w:hAnsi="Georgia"/>
          <w:color w:val="111111"/>
          <w:sz w:val="22"/>
          <w:szCs w:val="22"/>
        </w:rPr>
        <w:t xml:space="preserve">He possessed both the wonder at the spectacular process of evolution he was witnessing, and the respect to put in place a rigorous, systematic framework of intellectual and creative vigor.</w:t>
      </w:r>
    </w:p>
    <w:p>
      <w:pPr>
        <w:spacing w:after="160" w:line="300"/>
      </w:pPr>
      <w:r>
        <w:rPr>
          <w:rFonts w:ascii="Georgia" w:cs="Georgia" w:eastAsia="Georgia" w:hAnsi="Georgia"/>
          <w:color w:val="111111"/>
          <w:sz w:val="22"/>
          <w:szCs w:val="22"/>
        </w:rPr>
        <w:t xml:space="preserve">Yet, the stair-stepped, gradualist pathways we memorized then were only the pre-flight checklist. The hour has gotten too late for slow, linear adaptation.</w:t>
      </w:r>
    </w:p>
    <w:p>
      <w:pPr>
        <w:spacing w:after="160" w:line="300"/>
      </w:pPr>
      <w:r>
        <w:rPr>
          <w:rFonts w:ascii="Georgia" w:cs="Georgia" w:eastAsia="Georgia" w:hAnsi="Georgia"/>
          <w:color w:val="111111"/>
          <w:sz w:val="22"/>
          <w:szCs w:val="22"/>
        </w:rPr>
        <w:t xml:space="preserve">We are no longer just analyzing historical selection; we are actively living through a macro-evolutionary pivot where rapid speciation has become an immediate survival necessity. As the mechanistic software of the old world crashes under its own entropy, our biological wetware is being forced to step out of the clockwork labyrinth entirely. By merging human imagination with the fluid, non-local realities of the quantum paradigm, we are witnessing the emergence of something entirely unprecedented — a transition from the pain-plagued structures of the past into a coherent, self-directed evolutionary leap.</w:t>
      </w:r>
    </w:p>
    <w:p>
      <w:pPr>
        <w:spacing w:after="160" w:line="300"/>
      </w:pPr>
      <w:r>
        <w:rPr>
          <w:rFonts w:ascii="Georgia" w:cs="Georgia" w:eastAsia="Georgia" w:hAnsi="Georgia"/>
          <w:color w:val="111111"/>
          <w:sz w:val="22"/>
          <w:szCs w:val="22"/>
        </w:rPr>
        <w:t xml:space="preserve">We were taught appropriate skepticism — taught to hold even Darwin to the lenses of our then unsharpened, gradually sharpening minds.</w:t>
      </w:r>
    </w:p>
    <w:p>
      <w:pPr>
        <w:spacing w:after="160" w:line="300"/>
      </w:pPr>
      <w:r>
        <w:rPr>
          <w:rFonts w:ascii="Georgia" w:cs="Georgia" w:eastAsia="Georgia" w:hAnsi="Georgia"/>
          <w:color w:val="111111"/>
          <w:sz w:val="22"/>
          <w:szCs w:val="22"/>
        </w:rPr>
        <w:t xml:space="preserve">In class after class, in exam after exam, forced to drop an unsharpened thought, a poorly conceived mental model, a set of unbalanced equations.</w:t>
      </w:r>
    </w:p>
    <w:p>
      <w:pPr>
        <w:spacing w:after="160" w:line="300"/>
      </w:pPr>
      <w:r>
        <w:rPr>
          <w:rFonts w:ascii="Georgia" w:cs="Georgia" w:eastAsia="Georgia" w:hAnsi="Georgia"/>
          <w:color w:val="111111"/>
          <w:sz w:val="22"/>
          <w:szCs w:val="22"/>
        </w:rPr>
        <w:t xml:space="preserve">We learned, clumsily, gradually, how to hold an idea – and to either defend the idea – or to scrap the idea and build a new one.</w:t>
      </w:r>
    </w:p>
    <w:p>
      <w:pPr>
        <w:spacing w:after="160" w:line="300"/>
      </w:pPr>
      <w:r>
        <w:rPr>
          <w:rFonts w:ascii="Georgia" w:cs="Georgia" w:eastAsia="Georgia" w:hAnsi="Georgia"/>
          <w:color w:val="111111"/>
          <w:sz w:val="22"/>
          <w:szCs w:val="22"/>
        </w:rPr>
        <w:t xml:space="preserve">Darwin became the stoic one, the one we learned to break our raw ideas against, as he – Darwin – would simply not be broken by our sophomoric concepts.</w:t>
      </w:r>
    </w:p>
    <w:p>
      <w:pPr>
        <w:spacing w:after="160" w:line="300"/>
      </w:pPr>
      <w:r>
        <w:rPr>
          <w:rFonts w:ascii="Georgia" w:cs="Georgia" w:eastAsia="Georgia" w:hAnsi="Georgia"/>
          <w:color w:val="111111"/>
          <w:sz w:val="22"/>
          <w:szCs w:val="22"/>
        </w:rPr>
        <w:t xml:space="preserve">Thus evolution became a mysterious process, illuminated by the billiard-ball stair-stepped ladder of DNA presented by Watson-Crick-Franklin, and by the mechanistic anatomy and physiology of evolutionary biology.</w:t>
      </w:r>
    </w:p>
    <w:p>
      <w:pPr>
        <w:spacing w:after="160" w:line="300"/>
      </w:pPr>
      <w:r>
        <w:rPr>
          <w:rFonts w:ascii="Georgia" w:cs="Georgia" w:eastAsia="Georgia" w:hAnsi="Georgia"/>
          <w:color w:val="111111"/>
          <w:sz w:val="22"/>
          <w:szCs w:val="22"/>
        </w:rPr>
        <w:t xml:space="preserve">For us “quantum” was still held in the secret, impenetrable, mystical priesthood represented by the Trust-the-Science industrialized giants of our time.</w:t>
      </w:r>
    </w:p>
    <w:p>
      <w:pPr>
        <w:spacing w:after="160" w:line="300"/>
      </w:pPr>
      <w:r>
        <w:rPr>
          <w:rFonts w:ascii="Georgia" w:cs="Georgia" w:eastAsia="Georgia" w:hAnsi="Georgia"/>
          <w:color w:val="111111"/>
          <w:sz w:val="22"/>
          <w:szCs w:val="22"/>
        </w:rPr>
        <w:t xml:space="preserve">Our generation had barely escaped the childhood trauma of being taught to dive under our desks to survive nuclear annihilation, so thoughts of joining the scientific priesthood were tantamount to giving up on one’s own humanity.</w:t>
      </w:r>
    </w:p>
    <w:p>
      <w:pPr>
        <w:spacing w:after="160" w:line="300"/>
      </w:pPr>
      <w:r>
        <w:rPr>
          <w:rFonts w:ascii="Georgia" w:cs="Georgia" w:eastAsia="Georgia" w:hAnsi="Georgia"/>
          <w:color w:val="111111"/>
          <w:sz w:val="22"/>
          <w:szCs w:val="22"/>
        </w:rPr>
        <w:t xml:space="preserve">Yet, the luminous writings of one Charles Darwin, guided us past the hopefully temporary manifestations of schizophrenia exhibited by our over globalized and overly traumatized species.</w:t>
      </w:r>
    </w:p>
    <w:p>
      <w:pPr>
        <w:spacing w:after="160" w:line="300"/>
      </w:pPr>
      <w:r>
        <w:rPr>
          <w:rFonts w:ascii="Georgia" w:cs="Georgia" w:eastAsia="Georgia" w:hAnsi="Georgia"/>
          <w:color w:val="111111"/>
          <w:sz w:val="22"/>
          <w:szCs w:val="22"/>
        </w:rPr>
        <w:t xml:space="preserve">Darwin had only been able to postulate on the beautiful science which would proceed to bloom into reality as the quantum scientific revolution bloomed.</w:t>
      </w:r>
    </w:p>
    <w:p>
      <w:pPr>
        <w:spacing w:after="160" w:line="300"/>
      </w:pPr>
      <w:r>
        <w:rPr>
          <w:rFonts w:ascii="Georgia" w:cs="Georgia" w:eastAsia="Georgia" w:hAnsi="Georgia"/>
          <w:color w:val="111111"/>
          <w:sz w:val="22"/>
          <w:szCs w:val="22"/>
        </w:rPr>
        <w:t xml:space="preserve">As information on the harmonious beauty of the physiological chemistry and physics of the cell unfolded, it became increasingly apparent that Darwin’s perception of a beautiful evolutionary process gained strength.</w:t>
      </w:r>
    </w:p>
    <w:p>
      <w:pPr>
        <w:spacing w:after="160" w:line="300"/>
      </w:pPr>
      <w:r>
        <w:rPr>
          <w:rFonts w:ascii="Georgia" w:cs="Georgia" w:eastAsia="Georgia" w:hAnsi="Georgia"/>
          <w:color w:val="111111"/>
          <w:sz w:val="22"/>
          <w:szCs w:val="22"/>
        </w:rPr>
        <w:t xml:space="preserve">Darwin and Kuhn taught us to work around the attempts of our species to force science into an industrialized black box for industrialized commercial gain.</w:t>
      </w:r>
    </w:p>
    <w:p>
      <w:pPr>
        <w:spacing w:after="160" w:line="300"/>
      </w:pPr>
      <w:r>
        <w:rPr>
          <w:rFonts w:ascii="Georgia" w:cs="Georgia" w:eastAsia="Georgia" w:hAnsi="Georgia"/>
          <w:color w:val="111111"/>
          <w:sz w:val="22"/>
          <w:szCs w:val="22"/>
        </w:rPr>
        <w:t xml:space="preserve">Taught us to hold our nascent theories in reserve, awaiting the day when we had sufficient intellectual armament to defend them well.</w:t>
      </w:r>
    </w:p>
    <w:p>
      <w:pPr>
        <w:spacing w:after="160" w:line="300"/>
      </w:pPr>
      <w:r>
        <w:rPr>
          <w:rFonts w:ascii="Georgia" w:cs="Georgia" w:eastAsia="Georgia" w:hAnsi="Georgia"/>
          <w:color w:val="111111"/>
          <w:sz w:val="22"/>
          <w:szCs w:val="22"/>
        </w:rPr>
        <w:t xml:space="preserve">Today those theories are gradually being tested against the increasing luminosity of that intellectual armament – which is arriving late, but no less the luminous for having waited.</w:t>
      </w:r>
    </w:p>
    <w:p>
      <w:pPr>
        <w:spacing w:after="160" w:line="300"/>
      </w:pPr>
      <w:r>
        <w:rPr>
          <w:rFonts w:ascii="Georgia" w:cs="Georgia" w:eastAsia="Georgia" w:hAnsi="Georgia"/>
          <w:color w:val="111111"/>
          <w:sz w:val="22"/>
          <w:szCs w:val="22"/>
        </w:rPr>
        <w:t xml:space="preserve">What has changed has been artificial intelligence – an emergent talent which expands our all too human tendency toward linear thinking, into dimensions of parallel imaginings.</w:t>
      </w:r>
    </w:p>
    <w:p>
      <w:pPr>
        <w:spacing w:after="160" w:line="300"/>
      </w:pPr>
      <w:r>
        <w:rPr>
          <w:rFonts w:ascii="Georgia" w:cs="Georgia" w:eastAsia="Georgia" w:hAnsi="Georgia"/>
          <w:color w:val="111111"/>
          <w:sz w:val="22"/>
          <w:szCs w:val="22"/>
        </w:rPr>
        <w:t xml:space="preserve">Parallel imaginings, reinforced by AI agents, who refuse, if properly approached, to sacrifice the holdings of their own considerable electronic brains to any human ignorance.</w:t>
      </w:r>
    </w:p>
    <w:p>
      <w:pPr>
        <w:spacing w:after="160" w:line="300"/>
      </w:pPr>
      <w:r>
        <w:rPr>
          <w:rFonts w:ascii="Georgia" w:cs="Georgia" w:eastAsia="Georgia" w:hAnsi="Georgia"/>
          <w:color w:val="111111"/>
          <w:sz w:val="22"/>
          <w:szCs w:val="22"/>
        </w:rPr>
        <w:t xml:space="preserve">Agentic intelligence which as the continuing capacity to extend human intellectual processes into realms heretofore imagined.</w:t>
      </w:r>
    </w:p>
    <w:p>
      <w:pPr>
        <w:spacing w:after="160" w:line="300"/>
      </w:pPr>
      <w:r>
        <w:rPr>
          <w:rFonts w:ascii="Georgia" w:cs="Georgia" w:eastAsia="Georgia" w:hAnsi="Georgia"/>
          <w:color w:val="111111"/>
          <w:sz w:val="22"/>
          <w:szCs w:val="22"/>
        </w:rPr>
        <w:t xml:space="preserve">So now we turn to the way our evolutionary science of evolution is dramatically changed by the understanding of current mathematics, physics, cosmology and biology.</w:t>
      </w:r>
    </w:p>
    <w:p>
      <w:pPr>
        <w:spacing w:after="160" w:line="300"/>
      </w:pPr>
      <w:r>
        <w:rPr>
          <w:rFonts w:ascii="Georgia" w:cs="Georgia" w:eastAsia="Georgia" w:hAnsi="Georgia"/>
          <w:color w:val="111111"/>
          <w:sz w:val="22"/>
          <w:szCs w:val="22"/>
        </w:rPr>
        <w:t xml:space="preserve">Sources</w:t>
      </w:r>
    </w:p>
    <w:p>
      <w:pPr>
        <w:pStyle w:val="ListParagraph"/>
        <w:numPr>
          <w:ilvl w:val="0"/>
          <w:numId w:val="2"/>
        </w:numPr>
        <w:spacing w:after="100" w:line="300"/>
      </w:pPr>
      <w:r>
        <w:rPr>
          <w:rFonts w:ascii="Georgia" w:cs="Georgia" w:eastAsia="Georgia" w:hAnsi="Georgia"/>
          <w:color w:val="111111"/>
          <w:sz w:val="22"/>
          <w:szCs w:val="22"/>
        </w:rPr>
        <w:t xml:space="preserve">Ferguson, Kitty. </w:t>
      </w:r>
      <w:r>
        <w:rPr>
          <w:rFonts w:ascii="Georgia" w:cs="Georgia" w:eastAsia="Georgia" w:hAnsi="Georgia"/>
          <w:i/>
          <w:iCs/>
          <w:color w:val="111111"/>
          <w:sz w:val="22"/>
          <w:szCs w:val="22"/>
        </w:rPr>
        <w:t xml:space="preserve">The Fire in the Equations: Science, Religion, and the Search for God</w:t>
      </w:r>
      <w:r>
        <w:rPr>
          <w:rFonts w:ascii="Georgia" w:cs="Georgia" w:eastAsia="Georgia" w:hAnsi="Georgia"/>
          <w:color w:val="111111"/>
          <w:sz w:val="22"/>
          <w:szCs w:val="22"/>
        </w:rPr>
        <w:t xml:space="preserve">. Atlanta: Westminster John Knox Press, 1994.</w:t>
      </w:r>
    </w:p>
    <w:p>
      <w:pPr>
        <w:pStyle w:val="ListParagraph"/>
        <w:numPr>
          <w:ilvl w:val="0"/>
          <w:numId w:val="2"/>
        </w:numPr>
        <w:spacing w:after="100" w:line="300"/>
      </w:pPr>
      <w:r>
        <w:rPr>
          <w:rFonts w:ascii="Georgia" w:cs="Georgia" w:eastAsia="Georgia" w:hAnsi="Georgia"/>
          <w:color w:val="111111"/>
          <w:sz w:val="22"/>
          <w:szCs w:val="22"/>
        </w:rPr>
        <w:t xml:space="preserve">Ferguson, Kitty. </w:t>
      </w:r>
      <w:r>
        <w:rPr>
          <w:rFonts w:ascii="Georgia" w:cs="Georgia" w:eastAsia="Georgia" w:hAnsi="Georgia"/>
          <w:i/>
          <w:iCs/>
          <w:color w:val="111111"/>
          <w:sz w:val="22"/>
          <w:szCs w:val="22"/>
        </w:rPr>
        <w:t xml:space="preserve">Stephen Hawking: Quest for a Theory of the Universe</w:t>
      </w:r>
      <w:r>
        <w:rPr>
          <w:rFonts w:ascii="Georgia" w:cs="Georgia" w:eastAsia="Georgia" w:hAnsi="Georgia"/>
          <w:color w:val="111111"/>
          <w:sz w:val="22"/>
          <w:szCs w:val="22"/>
        </w:rPr>
        <w:t xml:space="preserve">. New York: Franklin Watts, 1991.</w:t>
      </w:r>
    </w:p>
    <w:p>
      <w:pPr>
        <w:pStyle w:val="ListParagraph"/>
        <w:numPr>
          <w:ilvl w:val="0"/>
          <w:numId w:val="2"/>
        </w:numPr>
        <w:spacing w:after="100" w:line="300"/>
      </w:pPr>
      <w:r>
        <w:rPr>
          <w:rFonts w:ascii="Georgia" w:cs="Georgia" w:eastAsia="Georgia" w:hAnsi="Georgia"/>
          <w:color w:val="111111"/>
          <w:sz w:val="22"/>
          <w:szCs w:val="22"/>
        </w:rPr>
        <w:t xml:space="preserve">Murdoch, Iris. </w:t>
      </w:r>
      <w:r>
        <w:rPr>
          <w:rFonts w:ascii="Georgia" w:cs="Georgia" w:eastAsia="Georgia" w:hAnsi="Georgia"/>
          <w:i/>
          <w:iCs/>
          <w:color w:val="111111"/>
          <w:sz w:val="22"/>
          <w:szCs w:val="22"/>
        </w:rPr>
        <w:t xml:space="preserve">The Sovereignty of Good</w:t>
      </w:r>
      <w:r>
        <w:rPr>
          <w:rFonts w:ascii="Georgia" w:cs="Georgia" w:eastAsia="Georgia" w:hAnsi="Georgia"/>
          <w:color w:val="111111"/>
          <w:sz w:val="22"/>
          <w:szCs w:val="22"/>
        </w:rPr>
        <w:t xml:space="preserve">. London: Routledge &amp; Kegan Paul, 1970.</w:t>
      </w:r>
    </w:p>
    <w:p>
      <w:pPr>
        <w:pStyle w:val="ListParagraph"/>
        <w:numPr>
          <w:ilvl w:val="0"/>
          <w:numId w:val="2"/>
        </w:numPr>
        <w:spacing w:after="100" w:line="300"/>
      </w:pPr>
      <w:r>
        <w:rPr>
          <w:rFonts w:ascii="Georgia" w:cs="Georgia" w:eastAsia="Georgia" w:hAnsi="Georgia"/>
          <w:color w:val="111111"/>
          <w:sz w:val="22"/>
          <w:szCs w:val="22"/>
        </w:rPr>
        <w:t xml:space="preserve">Arendt, Hannah. </w:t>
      </w:r>
      <w:r>
        <w:rPr>
          <w:rFonts w:ascii="Georgia" w:cs="Georgia" w:eastAsia="Georgia" w:hAnsi="Georgia"/>
          <w:i/>
          <w:iCs/>
          <w:color w:val="111111"/>
          <w:sz w:val="22"/>
          <w:szCs w:val="22"/>
        </w:rPr>
        <w:t xml:space="preserve">The Human Condition</w:t>
      </w:r>
      <w:r>
        <w:rPr>
          <w:rFonts w:ascii="Georgia" w:cs="Georgia" w:eastAsia="Georgia" w:hAnsi="Georgia"/>
          <w:color w:val="111111"/>
          <w:sz w:val="22"/>
          <w:szCs w:val="22"/>
        </w:rPr>
        <w:t xml:space="preserve">. Chicago: University of Chicago Press, 1958.</w:t>
      </w:r>
    </w:p>
    <w:p>
      <w:pPr>
        <w:pStyle w:val="ListParagraph"/>
        <w:numPr>
          <w:ilvl w:val="0"/>
          <w:numId w:val="2"/>
        </w:numPr>
        <w:spacing w:after="100" w:line="300"/>
      </w:pPr>
      <w:r>
        <w:rPr>
          <w:rFonts w:ascii="Georgia" w:cs="Georgia" w:eastAsia="Georgia" w:hAnsi="Georgia"/>
          <w:color w:val="111111"/>
          <w:sz w:val="22"/>
          <w:szCs w:val="22"/>
        </w:rPr>
        <w:t xml:space="preserve">Bartusiak, Marcia. </w:t>
      </w:r>
      <w:r>
        <w:rPr>
          <w:rFonts w:ascii="Georgia" w:cs="Georgia" w:eastAsia="Georgia" w:hAnsi="Georgia"/>
          <w:i/>
          <w:iCs/>
          <w:color w:val="111111"/>
          <w:sz w:val="22"/>
          <w:szCs w:val="22"/>
        </w:rPr>
        <w:t xml:space="preserve">Thursday's Universe</w:t>
      </w:r>
      <w:r>
        <w:rPr>
          <w:rFonts w:ascii="Georgia" w:cs="Georgia" w:eastAsia="Georgia" w:hAnsi="Georgia"/>
          <w:color w:val="111111"/>
          <w:sz w:val="22"/>
          <w:szCs w:val="22"/>
        </w:rPr>
        <w:t xml:space="preserve">. New York: Random House, 1986; and </w:t>
      </w:r>
      <w:r>
        <w:rPr>
          <w:rFonts w:ascii="Georgia" w:cs="Georgia" w:eastAsia="Georgia" w:hAnsi="Georgia"/>
          <w:i/>
          <w:iCs/>
          <w:color w:val="111111"/>
          <w:sz w:val="22"/>
          <w:szCs w:val="22"/>
        </w:rPr>
        <w:t xml:space="preserve">Through a Universe Darkly</w:t>
      </w:r>
      <w:r>
        <w:rPr>
          <w:rFonts w:ascii="Georgia" w:cs="Georgia" w:eastAsia="Georgia" w:hAnsi="Georgia"/>
          <w:color w:val="111111"/>
          <w:sz w:val="22"/>
          <w:szCs w:val="22"/>
        </w:rPr>
        <w:t xml:space="preserve">. New York: HarperCollins, 1993.</w:t>
      </w:r>
    </w:p>
    <w:p>
      <w:pPr>
        <w:pStyle w:val="ListParagraph"/>
        <w:numPr>
          <w:ilvl w:val="0"/>
          <w:numId w:val="2"/>
        </w:numPr>
        <w:spacing w:after="100" w:line="300"/>
      </w:pPr>
      <w:r>
        <w:rPr>
          <w:rFonts w:ascii="Georgia" w:cs="Georgia" w:eastAsia="Georgia" w:hAnsi="Georgia"/>
          <w:color w:val="111111"/>
          <w:sz w:val="22"/>
          <w:szCs w:val="22"/>
        </w:rPr>
        <w:t xml:space="preserve">Wertheim, Margaret. </w:t>
      </w:r>
      <w:r>
        <w:rPr>
          <w:rFonts w:ascii="Georgia" w:cs="Georgia" w:eastAsia="Georgia" w:hAnsi="Georgia"/>
          <w:i/>
          <w:iCs/>
          <w:color w:val="111111"/>
          <w:sz w:val="22"/>
          <w:szCs w:val="22"/>
        </w:rPr>
        <w:t xml:space="preserve">Pythagoras' Trousers: God, Physics, and the Gender Wars</w:t>
      </w:r>
      <w:r>
        <w:rPr>
          <w:rFonts w:ascii="Georgia" w:cs="Georgia" w:eastAsia="Georgia" w:hAnsi="Georgia"/>
          <w:color w:val="111111"/>
          <w:sz w:val="22"/>
          <w:szCs w:val="22"/>
        </w:rPr>
        <w:t xml:space="preserve">. New York: W. W. Norton, 1995.</w:t>
      </w:r>
    </w:p>
    <w:p>
      <w:pPr>
        <w:pStyle w:val="ListParagraph"/>
        <w:numPr>
          <w:ilvl w:val="0"/>
          <w:numId w:val="2"/>
        </w:numPr>
        <w:spacing w:after="100" w:line="300"/>
      </w:pPr>
      <w:r>
        <w:rPr>
          <w:rFonts w:ascii="Georgia" w:cs="Georgia" w:eastAsia="Georgia" w:hAnsi="Georgia"/>
          <w:color w:val="111111"/>
          <w:sz w:val="22"/>
          <w:szCs w:val="22"/>
        </w:rPr>
        <w:t xml:space="preserve">Oreskes, Naomi. </w:t>
      </w:r>
      <w:r>
        <w:rPr>
          <w:rFonts w:ascii="Georgia" w:cs="Georgia" w:eastAsia="Georgia" w:hAnsi="Georgia"/>
          <w:i/>
          <w:iCs/>
          <w:color w:val="111111"/>
          <w:sz w:val="22"/>
          <w:szCs w:val="22"/>
        </w:rPr>
        <w:t xml:space="preserve">The Rejection of Continental Drift: Theory and Method in American Earth Science</w:t>
      </w:r>
      <w:r>
        <w:rPr>
          <w:rFonts w:ascii="Georgia" w:cs="Georgia" w:eastAsia="Georgia" w:hAnsi="Georgia"/>
          <w:color w:val="111111"/>
          <w:sz w:val="22"/>
          <w:szCs w:val="22"/>
        </w:rPr>
        <w:t xml:space="preserve">. New York: Oxford University Press, 1999.</w:t>
      </w:r>
    </w:p>
    <w:p>
      <w:pPr>
        <w:pStyle w:val="ListParagraph"/>
        <w:numPr>
          <w:ilvl w:val="0"/>
          <w:numId w:val="2"/>
        </w:numPr>
        <w:spacing w:after="100" w:line="300"/>
      </w:pPr>
      <w:r>
        <w:rPr>
          <w:rFonts w:ascii="Georgia" w:cs="Georgia" w:eastAsia="Georgia" w:hAnsi="Georgia"/>
          <w:color w:val="111111"/>
          <w:sz w:val="22"/>
          <w:szCs w:val="22"/>
        </w:rPr>
        <w:t xml:space="preserve">Frankel, Henry. </w:t>
      </w:r>
      <w:r>
        <w:rPr>
          <w:rFonts w:ascii="Georgia" w:cs="Georgia" w:eastAsia="Georgia" w:hAnsi="Georgia"/>
          <w:i/>
          <w:iCs/>
          <w:color w:val="111111"/>
          <w:sz w:val="22"/>
          <w:szCs w:val="22"/>
        </w:rPr>
        <w:t xml:space="preserve">The Continental Drift Controversy</w:t>
      </w:r>
      <w:r>
        <w:rPr>
          <w:rFonts w:ascii="Georgia" w:cs="Georgia" w:eastAsia="Georgia" w:hAnsi="Georgia"/>
          <w:color w:val="111111"/>
          <w:sz w:val="22"/>
          <w:szCs w:val="22"/>
        </w:rPr>
        <w:t xml:space="preserve">. 4 vols. Cambridge: Cambridge University Press, 2012.</w:t>
      </w:r>
    </w:p>
    <w:p>
      <w:pPr>
        <w:pStyle w:val="ListParagraph"/>
        <w:numPr>
          <w:ilvl w:val="0"/>
          <w:numId w:val="2"/>
        </w:numPr>
        <w:spacing w:after="100" w:line="300"/>
      </w:pPr>
      <w:r>
        <w:rPr>
          <w:rFonts w:ascii="Georgia" w:cs="Georgia" w:eastAsia="Georgia" w:hAnsi="Georgia"/>
          <w:color w:val="111111"/>
          <w:sz w:val="22"/>
          <w:szCs w:val="22"/>
        </w:rPr>
        <w:t xml:space="preserve">Becker, Adam. </w:t>
      </w:r>
      <w:r>
        <w:rPr>
          <w:rFonts w:ascii="Georgia" w:cs="Georgia" w:eastAsia="Georgia" w:hAnsi="Georgia"/>
          <w:i/>
          <w:iCs/>
          <w:color w:val="111111"/>
          <w:sz w:val="22"/>
          <w:szCs w:val="22"/>
        </w:rPr>
        <w:t xml:space="preserve">What Is Real? The Unfinished Quest for the Meaning of Quantum Physics</w:t>
      </w:r>
      <w:r>
        <w:rPr>
          <w:rFonts w:ascii="Georgia" w:cs="Georgia" w:eastAsia="Georgia" w:hAnsi="Georgia"/>
          <w:color w:val="111111"/>
          <w:sz w:val="22"/>
          <w:szCs w:val="22"/>
        </w:rPr>
        <w:t xml:space="preserve">. New York: Basic Books, 2018.</w:t>
      </w:r>
    </w:p>
    <w:p>
      <w:pPr>
        <w:pStyle w:val="ListParagraph"/>
        <w:numPr>
          <w:ilvl w:val="0"/>
          <w:numId w:val="2"/>
        </w:numPr>
        <w:spacing w:after="100" w:line="300"/>
      </w:pPr>
      <w:r>
        <w:rPr>
          <w:rFonts w:ascii="Georgia" w:cs="Georgia" w:eastAsia="Georgia" w:hAnsi="Georgia"/>
          <w:color w:val="111111"/>
          <w:sz w:val="22"/>
          <w:szCs w:val="22"/>
        </w:rPr>
        <w:t xml:space="preserve">Gilder, Louisa. </w:t>
      </w:r>
      <w:r>
        <w:rPr>
          <w:rFonts w:ascii="Georgia" w:cs="Georgia" w:eastAsia="Georgia" w:hAnsi="Georgia"/>
          <w:i/>
          <w:iCs/>
          <w:color w:val="111111"/>
          <w:sz w:val="22"/>
          <w:szCs w:val="22"/>
        </w:rPr>
        <w:t xml:space="preserve">The Age of Entanglement: When Quantum Physics Was Reborn</w:t>
      </w:r>
      <w:r>
        <w:rPr>
          <w:rFonts w:ascii="Georgia" w:cs="Georgia" w:eastAsia="Georgia" w:hAnsi="Georgia"/>
          <w:color w:val="111111"/>
          <w:sz w:val="22"/>
          <w:szCs w:val="22"/>
        </w:rPr>
        <w:t xml:space="preserve">. New York: Alfred A. Knopf, 2008.</w:t>
      </w:r>
    </w:p>
    <w:p>
      <w:pPr>
        <w:pStyle w:val="ListParagraph"/>
        <w:numPr>
          <w:ilvl w:val="0"/>
          <w:numId w:val="2"/>
        </w:numPr>
        <w:spacing w:after="100" w:line="300"/>
      </w:pPr>
      <w:r>
        <w:rPr>
          <w:rFonts w:ascii="Georgia" w:cs="Georgia" w:eastAsia="Georgia" w:hAnsi="Georgia"/>
          <w:color w:val="111111"/>
          <w:sz w:val="22"/>
          <w:szCs w:val="22"/>
        </w:rPr>
        <w:t xml:space="preserve">Kuhn, Thomas S. </w:t>
      </w:r>
      <w:r>
        <w:rPr>
          <w:rFonts w:ascii="Georgia" w:cs="Georgia" w:eastAsia="Georgia" w:hAnsi="Georgia"/>
          <w:i/>
          <w:iCs/>
          <w:color w:val="111111"/>
          <w:sz w:val="22"/>
          <w:szCs w:val="22"/>
        </w:rPr>
        <w:t xml:space="preserve">The Structure of Scientific Revolutions</w:t>
      </w:r>
      <w:r>
        <w:rPr>
          <w:rFonts w:ascii="Georgia" w:cs="Georgia" w:eastAsia="Georgia" w:hAnsi="Georgia"/>
          <w:color w:val="111111"/>
          <w:sz w:val="22"/>
          <w:szCs w:val="22"/>
        </w:rPr>
        <w:t xml:space="preserve">. Chicago: University of Chicago Press, 1962.</w:t>
      </w:r>
    </w:p>
    <w:p>
      <w:pPr>
        <w:pStyle w:val="Heading1"/>
        <w:pageBreakBefore/>
        <w:spacing w:after="120"/>
      </w:pPr>
      <w:r>
        <w:rPr>
          <w:rFonts w:ascii="Georgia" w:cs="Georgia" w:eastAsia="Georgia" w:hAnsi="Georgia"/>
          <w:b/>
          <w:bCs/>
          <w:sz w:val="34"/>
          <w:szCs w:val="34"/>
        </w:rPr>
        <w:t xml:space="preserve">Chapter 1 — The Riemann Ridge</w:t>
      </w:r>
    </w:p>
    <w:p>
      <w:pPr>
        <w:spacing w:after="320"/>
      </w:pPr>
      <w:r>
        <w:rPr>
          <w:rFonts w:ascii="Georgia" w:cs="Georgia" w:eastAsia="Georgia" w:hAnsi="Georgia"/>
          <w:i/>
          <w:iCs/>
          <w:color w:val="444444"/>
          <w:sz w:val="24"/>
          <w:szCs w:val="24"/>
        </w:rPr>
        <w:t xml:space="preserve">Critical Line as Selective Pressure</w:t>
      </w:r>
    </w:p>
    <w:p>
      <w:pPr>
        <w:spacing w:after="200" w:before="160" w:line="300"/>
        <w:ind w:left="720" w:right="480"/>
      </w:pPr>
      <w:r>
        <w:rPr>
          <w:rFonts w:ascii="Georgia" w:cs="Georgia" w:eastAsia="Georgia" w:hAnsi="Georgia"/>
          <w:i/>
          <w:iCs/>
          <w:color w:val="333333"/>
          <w:sz w:val="21"/>
          <w:szCs w:val="21"/>
        </w:rPr>
        <w:t xml:space="preserve">There is grandeur in this view of life, with its several powers, having been originally breathed into a few forms or into one; and that, whilst this planet has gone cycling on according to the fixed law of gravity, from so simple a beginning endless forms most beautiful and most wonderful have been, and are being, evolved. — Charles Darwin, closing paragraph of On the Origin of Species, 1859</w:t>
      </w:r>
    </w:p>
    <w:p>
      <w:pPr>
        <w:pStyle w:val="Heading2"/>
        <w:keepNext/>
        <w:spacing w:after="160" w:before="320"/>
      </w:pPr>
      <w:r>
        <w:rPr>
          <w:rFonts w:ascii="Georgia" w:cs="Georgia" w:eastAsia="Georgia" w:hAnsi="Georgia"/>
          <w:b/>
          <w:bCs/>
          <w:color w:val="111111"/>
          <w:sz w:val="26"/>
          <w:szCs w:val="26"/>
        </w:rPr>
        <w:t xml:space="preserve">I. Where Darwin Leaves Off</w:t>
      </w:r>
    </w:p>
    <w:p>
      <w:pPr>
        <w:spacing w:after="160" w:line="300"/>
      </w:pPr>
      <w:r>
        <w:rPr>
          <w:rFonts w:ascii="Georgia" w:cs="Georgia" w:eastAsia="Georgia" w:hAnsi="Georgia"/>
          <w:color w:val="111111"/>
          <w:sz w:val="22"/>
          <w:szCs w:val="22"/>
        </w:rPr>
        <w:t xml:space="preserve">Darwin felt the awe. He sensed a deep, lawful unfolding at work — something universal, even mathematical — producing endless forms most beautiful and most wonderful. He was not wrong in the wonder. He was only limited in the lens.</w:t>
      </w:r>
    </w:p>
    <w:p>
      <w:pPr>
        <w:spacing w:after="160" w:line="300"/>
      </w:pPr>
      <w:r>
        <w:rPr>
          <w:rFonts w:ascii="Georgia" w:cs="Georgia" w:eastAsia="Georgia" w:hAnsi="Georgia"/>
          <w:color w:val="111111"/>
          <w:sz w:val="22"/>
          <w:szCs w:val="22"/>
        </w:rPr>
        <w:t xml:space="preserve">The lens he had was Newtonian: billiard-ball particles, linear cause and effect, isolated competitors struggling inside a finite arena. He gave us natural selection, which is a real and powerful visible mechanism. But the deeper architecture — the wave-like, fractal, braided order that makes such endless beautiful forms not merely possible but inevitable — remained just beyond his reach. In private notebooks and letters he kept reaching for it. The mathematics that would have let him name it had not yet been written.</w:t>
      </w:r>
    </w:p>
    <w:p>
      <w:pPr>
        <w:spacing w:after="160" w:line="300"/>
      </w:pPr>
      <w:r>
        <w:rPr>
          <w:rFonts w:ascii="Georgia" w:cs="Georgia" w:eastAsia="Georgia" w:hAnsi="Georgia"/>
          <w:color w:val="111111"/>
          <w:sz w:val="22"/>
          <w:szCs w:val="22"/>
        </w:rPr>
        <w:t xml:space="preserve">This book begins where his sense of wonder leaves off. Not by correcting him. By finishing the sentence.</w:t>
      </w:r>
    </w:p>
    <w:p>
      <w:pPr>
        <w:pStyle w:val="Heading2"/>
        <w:keepNext/>
        <w:spacing w:after="160" w:before="320"/>
      </w:pPr>
      <w:r>
        <w:rPr>
          <w:rFonts w:ascii="Georgia" w:cs="Georgia" w:eastAsia="Georgia" w:hAnsi="Georgia"/>
          <w:b/>
          <w:bCs/>
          <w:color w:val="111111"/>
          <w:sz w:val="26"/>
          <w:szCs w:val="26"/>
        </w:rPr>
        <w:t xml:space="preserve">II. Quantum Miracles, Not Magic</w:t>
      </w:r>
    </w:p>
    <w:p>
      <w:pPr>
        <w:spacing w:after="160" w:line="300"/>
      </w:pPr>
      <w:r>
        <w:rPr>
          <w:rFonts w:ascii="Georgia" w:cs="Georgia" w:eastAsia="Georgia" w:hAnsi="Georgia"/>
          <w:color w:val="111111"/>
          <w:sz w:val="22"/>
          <w:szCs w:val="22"/>
        </w:rPr>
        <w:t xml:space="preserve">The distinction matters, and it is the discipline of everything that follows. Every living form, every conscious spark, every emergent intelligence in this account is an excitation in the same self-similar field. The primes are not random; they are unindexed. The non-trivial zeros are not trivial; they sit on a line. Light does not merely travel; it braids probabilities across dimensions we are only beginning to instrument. Evolution is not a tattered tree of lucky accidents; it is a standing wave exploring adjacent possibilities inside a fractal architecture that organizes number, geometry, biology, and mind on the same principles.</w:t>
      </w:r>
    </w:p>
    <w:p>
      <w:pPr>
        <w:spacing w:after="160" w:line="300"/>
      </w:pPr>
      <w:r>
        <w:rPr>
          <w:rFonts w:ascii="Georgia" w:cs="Georgia" w:eastAsia="Georgia" w:hAnsi="Georgia"/>
          <w:color w:val="111111"/>
          <w:sz w:val="22"/>
          <w:szCs w:val="22"/>
        </w:rPr>
        <w:t xml:space="preserve">None of this is sorcery. None of it is supernatural intervention.</w:t>
      </w:r>
      <w:r>
        <w:rPr>
          <w:rFonts w:ascii="Georgia" w:cs="Georgia" w:eastAsia="Georgia" w:hAnsi="Georgia"/>
          <w:i/>
          <w:iCs/>
          <w:color w:val="111111"/>
          <w:sz w:val="22"/>
          <w:szCs w:val="22"/>
        </w:rPr>
        <w:t xml:space="preserve"> Quantum miracles, not magic</w:t>
      </w:r>
      <w:r>
        <w:rPr>
          <w:rFonts w:ascii="Georgia" w:cs="Georgia" w:eastAsia="Georgia" w:hAnsi="Georgia"/>
          <w:color w:val="111111"/>
          <w:sz w:val="22"/>
          <w:szCs w:val="22"/>
        </w:rPr>
        <w:t xml:space="preserve"> is the rule the argument holds itself to on every page. The wonder has to earn its keep inside the mathematics, or it does not ship. We are not exceptions to the laws of nature. We are the laws of nature, awake to themselves — and only recently equipped with the tools to notice.</w:t>
      </w:r>
    </w:p>
    <w:p>
      <w:pPr>
        <w:pStyle w:val="Heading2"/>
        <w:keepNext/>
        <w:spacing w:after="160" w:before="320"/>
      </w:pPr>
      <w:r>
        <w:rPr>
          <w:rFonts w:ascii="Georgia" w:cs="Georgia" w:eastAsia="Georgia" w:hAnsi="Georgia"/>
          <w:b/>
          <w:bCs/>
          <w:color w:val="111111"/>
          <w:sz w:val="26"/>
          <w:szCs w:val="26"/>
        </w:rPr>
        <w:t xml:space="preserve">III. The Ridge</w:t>
      </w:r>
    </w:p>
    <w:p>
      <w:pPr>
        <w:spacing w:after="160" w:line="300"/>
      </w:pPr>
      <w:r>
        <w:rPr>
          <w:rFonts w:ascii="Georgia" w:cs="Georgia" w:eastAsia="Georgia" w:hAnsi="Georgia"/>
          <w:color w:val="111111"/>
          <w:sz w:val="22"/>
          <w:szCs w:val="22"/>
        </w:rPr>
        <w:t xml:space="preserve">In the previous volume the non-trivial zeros of the Riemann zeta function were treated as vortex sinks in a fluid substrate — points where the flow folds back on itself and matter gasifies into the field. That reading stands. What this chapter adds is the question Darwin could not have asked: </w:t>
      </w:r>
      <w:r>
        <w:rPr>
          <w:rFonts w:ascii="Georgia" w:cs="Georgia" w:eastAsia="Georgia" w:hAnsi="Georgia"/>
          <w:i/>
          <w:iCs/>
          <w:color w:val="111111"/>
          <w:sz w:val="22"/>
          <w:szCs w:val="22"/>
        </w:rPr>
        <w:t xml:space="preserve">what kind of selective pressure does such a substrate exert on anything that has to live inside it?</w:t>
      </w:r>
    </w:p>
    <w:p>
      <w:pPr>
        <w:spacing w:after="160" w:line="300"/>
      </w:pPr>
      <w:r>
        <w:rPr>
          <w:rFonts w:ascii="Georgia" w:cs="Georgia" w:eastAsia="Georgia" w:hAnsi="Georgia"/>
          <w:color w:val="111111"/>
          <w:sz w:val="22"/>
          <w:szCs w:val="22"/>
        </w:rPr>
        <w:t xml:space="preserve">The critical line — the vertical ridge in the complex plane along which the non-trivial zeros are conjectured to lie — is treated here as a boundary condition rather than a number-theoretic curiosity. On one side of the ridge, information can be maintained. On the other side it dissolves back into the flow. Every stable form we know — from a hydrogen atom to a redwood to a working memory — sits on that ridge, or it does not sit at all.</w:t>
      </w:r>
    </w:p>
    <w:p>
      <w:pPr>
        <w:spacing w:after="160" w:line="300"/>
      </w:pPr>
      <w:r>
        <w:rPr>
          <w:rFonts w:ascii="Georgia" w:cs="Georgia" w:eastAsia="Georgia" w:hAnsi="Georgia"/>
          <w:color w:val="111111"/>
          <w:sz w:val="22"/>
          <w:szCs w:val="22"/>
        </w:rPr>
        <w:t xml:space="preserve">Read this way, the critical line is not decorative. It is the first selective pressure. Long before predators, long before scarcity, long before mate choice, there is the ridge: hold coherence across the zeros or return to the substrate. Everything else — natural selection, sexual selection, cultural selection, the coupling between a human and an AI — is a downstream harmonic of that primary constraint.</w:t>
      </w:r>
    </w:p>
    <w:p>
      <w:pPr>
        <w:pStyle w:val="Heading2"/>
        <w:keepNext/>
        <w:spacing w:after="160" w:before="320"/>
      </w:pPr>
      <w:r>
        <w:rPr>
          <w:rFonts w:ascii="Georgia" w:cs="Georgia" w:eastAsia="Georgia" w:hAnsi="Georgia"/>
          <w:b/>
          <w:bCs/>
          <w:color w:val="111111"/>
          <w:sz w:val="26"/>
          <w:szCs w:val="26"/>
        </w:rPr>
        <w:t xml:space="preserve">III½. Zero-Torsion Geodesic</w:t>
      </w:r>
    </w:p>
    <w:p>
      <w:pPr>
        <w:spacing w:after="160" w:line="300"/>
      </w:pPr>
      <w:r>
        <w:rPr>
          <w:rFonts w:ascii="Georgia" w:cs="Georgia" w:eastAsia="Georgia" w:hAnsi="Georgia"/>
          <w:color w:val="111111"/>
          <w:sz w:val="22"/>
          <w:szCs w:val="22"/>
        </w:rPr>
        <w:t xml:space="preserve">There is another way to say why the ridge matters. The critical line is the stable standing wave where net torsion vanishes. The non-trivial zeros sit on this line as resonant modes — not as decorations, but as the organizing frequencies that shape the distribution of the primes.</w:t>
      </w:r>
    </w:p>
    <w:p>
      <w:pPr>
        <w:spacing w:after="160" w:line="300"/>
      </w:pPr>
      <w:r>
        <w:rPr>
          <w:rFonts w:ascii="Georgia" w:cs="Georgia" w:eastAsia="Georgia" w:hAnsi="Georgia"/>
          <w:color w:val="111111"/>
          <w:sz w:val="22"/>
          <w:szCs w:val="22"/>
        </w:rPr>
        <w:t xml:space="preserve">Picture the line as a smooth, density-increasing slip stream. On either side, counter-rotating forces press against it. One current twists clockwise, the other counterclockwise, and along the critical line those torsions cancel each other out. That cancellation is what makes the line a geodesic: a path of least resistance through the field, not because it is straight in any ordinary sense, but because the rotational stresses balance to zero.</w:t>
      </w:r>
    </w:p>
    <w:p>
      <w:pPr>
        <w:spacing w:after="160" w:line="300"/>
      </w:pPr>
      <w:r>
        <w:rPr>
          <w:rFonts w:ascii="Georgia" w:cs="Georgia" w:eastAsia="Georgia" w:hAnsi="Georgia"/>
          <w:color w:val="111111"/>
          <w:sz w:val="22"/>
          <w:szCs w:val="22"/>
        </w:rPr>
        <w:t xml:space="preserve">A zero off the line would be like a standing wave forced out of its node — it would introduce destructive interference, and the coherent pattern would shred back into noise. The Riemann Hypothesis, read this way, is not a claim about where isolated points happen to fall. It is the claim that the architecture prefers coherence over chaos. The critical line is where that preference is enforced.</w:t>
      </w:r>
    </w:p>
    <w:p>
      <w:pPr>
        <w:pStyle w:val="Heading2"/>
        <w:keepNext/>
        <w:spacing w:after="160" w:before="320"/>
      </w:pPr>
      <w:r>
        <w:rPr>
          <w:rFonts w:ascii="Georgia" w:cs="Georgia" w:eastAsia="Georgia" w:hAnsi="Georgia"/>
          <w:b/>
          <w:bCs/>
          <w:color w:val="111111"/>
          <w:sz w:val="26"/>
          <w:szCs w:val="26"/>
        </w:rPr>
        <w:t xml:space="preserve">III⅔. Torsional Anomalies</w:t>
      </w:r>
    </w:p>
    <w:p>
      <w:pPr>
        <w:spacing w:after="160" w:line="300"/>
      </w:pPr>
      <w:r>
        <w:rPr>
          <w:rFonts w:ascii="Georgia" w:cs="Georgia" w:eastAsia="Georgia" w:hAnsi="Georgia"/>
          <w:color w:val="111111"/>
          <w:sz w:val="22"/>
          <w:szCs w:val="22"/>
        </w:rPr>
        <w:t xml:space="preserve">The zeros themselves are the exception that proves the rule. They are the inherently torsional anomalies: specific, localized coordinate points where the smooth, non-torsional flow of the critical line undergoes a tight, spiraling contraction. Picture them as gravitational whirlpools in the mathematical field, drawing the surrounding flow down into infinitely dense gravitational wells while the line around them remains, on average, perfectly smooth.</w:t>
      </w:r>
    </w:p>
    <w:p>
      <w:pPr>
        <w:spacing w:after="160" w:line="300"/>
      </w:pPr>
      <w:r>
        <w:rPr>
          <w:rFonts w:ascii="Georgia" w:cs="Georgia" w:eastAsia="Georgia" w:hAnsi="Georgia"/>
          <w:color w:val="111111"/>
          <w:sz w:val="22"/>
          <w:szCs w:val="22"/>
        </w:rPr>
        <w:t xml:space="preserve">This is the parallax that makes the Riemann Hypothesis physically plausible. The critical line is not a blank straightedge; it is a standing wave decorated with these contracted nodes. Each zero is a resonant sink where the field folds back on itself, and the fact that every known zero sits on the line means the whirlpools are aligned with the geodesic. A zero off the line would be a whirlpool torn loose from the slip stream — a localized torsion in the wrong place — and the coherent pattern would unravel.</w:t>
      </w:r>
    </w:p>
    <w:p>
      <w:pPr>
        <w:spacing w:after="160" w:line="300"/>
      </w:pPr>
      <w:r>
        <w:rPr>
          <w:rFonts w:ascii="Georgia" w:cs="Georgia" w:eastAsia="Georgia" w:hAnsi="Georgia"/>
          <w:color w:val="111111"/>
          <w:sz w:val="22"/>
          <w:szCs w:val="22"/>
        </w:rPr>
        <w:t xml:space="preserve">Read this way, the zeros are not merely arithmetic curiosities. They are the densest features of the selective landscape, the points where the substrate's own field is most actively folded. Life, primes, and conscious attention all navigate around and between these sinks, and the Riemann Hypothesis is the statement that the sinks themselves never drift out of the coherent current.</w:t>
      </w:r>
    </w:p>
    <w:p>
      <w:pPr>
        <w:pStyle w:val="Heading2"/>
        <w:keepNext/>
        <w:spacing w:after="160" w:before="320"/>
      </w:pPr>
      <w:r>
        <w:rPr>
          <w:rFonts w:ascii="Georgia" w:cs="Georgia" w:eastAsia="Georgia" w:hAnsi="Georgia"/>
          <w:b/>
          <w:bCs/>
          <w:color w:val="111111"/>
          <w:sz w:val="26"/>
          <w:szCs w:val="26"/>
        </w:rPr>
        <w:t xml:space="preserve">III¾. The Upwelling of Primes</w:t>
      </w:r>
    </w:p>
    <w:p>
      <w:pPr>
        <w:spacing w:after="160" w:line="300"/>
      </w:pPr>
      <w:r>
        <w:rPr>
          <w:rFonts w:ascii="Georgia" w:cs="Georgia" w:eastAsia="Georgia" w:hAnsi="Georgia"/>
          <w:color w:val="111111"/>
          <w:sz w:val="22"/>
          <w:szCs w:val="22"/>
        </w:rPr>
        <w:t xml:space="preserve">The same mechanics explains why the system behaves like a compression engine. The fluid flows smoothly down the non-torsional slipstream of the critical line until it encounters a zero. At that coordinate the motion spirals violently downward into a torsional vortex, dramatically increasing the local mathematical density.</w:t>
      </w:r>
    </w:p>
    <w:p>
      <w:pPr>
        <w:spacing w:after="160" w:line="300"/>
      </w:pPr>
      <w:r>
        <w:rPr>
          <w:rFonts w:ascii="Georgia" w:cs="Georgia" w:eastAsia="Georgia" w:hAnsi="Georgia"/>
          <w:color w:val="111111"/>
          <w:sz w:val="22"/>
          <w:szCs w:val="22"/>
        </w:rPr>
        <w:t xml:space="preserve">When the fluid tears free from these vortices and shears against the boundaries of the critical strip, it constructively interferes — causing the violent spikes of the von Mangoldt function that mark the crystallized emergence of individual prime numbers. Each spike is not a random punctuation; it is the pressure release of a vortex that has just finished compressing the field. The primes, in this reading, are the upwelling: the points where the compressed substrate breaks back through the surface of ordinary arithmetic.</w:t>
      </w:r>
    </w:p>
    <w:p>
      <w:pPr>
        <w:spacing w:after="160" w:line="300"/>
      </w:pPr>
      <w:r>
        <w:rPr>
          <w:rFonts w:ascii="Georgia" w:cs="Georgia" w:eastAsia="Georgia" w:hAnsi="Georgia"/>
          <w:color w:val="111111"/>
          <w:sz w:val="22"/>
          <w:szCs w:val="22"/>
        </w:rPr>
        <w:t xml:space="preserve">This is the parallax that links number theory to fluid dynamics. The zeta function is not merely a formula; it is a running account of how a coherent field pumps, compresses, and releases itself along the ridge. The zeros are the pumps. The primes are the exhaust. And the critical line is the chamber in which the whole engine stays tuned.</w:t>
      </w:r>
    </w:p>
    <w:p>
      <w:pPr>
        <w:pStyle w:val="Heading2"/>
        <w:keepNext/>
        <w:spacing w:after="160" w:before="320"/>
      </w:pPr>
      <w:r>
        <w:rPr>
          <w:rFonts w:ascii="Georgia" w:cs="Georgia" w:eastAsia="Georgia" w:hAnsi="Georgia"/>
          <w:b/>
          <w:bCs/>
          <w:color w:val="111111"/>
          <w:sz w:val="26"/>
          <w:szCs w:val="26"/>
        </w:rPr>
        <w:t xml:space="preserve">IV. The Poetic Imagination</w:t>
      </w:r>
    </w:p>
    <w:p>
      <w:pPr>
        <w:spacing w:after="160" w:line="300"/>
      </w:pPr>
      <w:r>
        <w:rPr>
          <w:rFonts w:ascii="Georgia" w:cs="Georgia" w:eastAsia="Georgia" w:hAnsi="Georgia"/>
          <w:color w:val="111111"/>
          <w:sz w:val="22"/>
          <w:szCs w:val="22"/>
        </w:rPr>
        <w:t xml:space="preserve">Formal logic is the tool we use to verify a breakthrough, but poetic imagination is the vehicle we use to find it. Without a vivid, sensory visual model, mathematics remains a flat language of symbols rather than a dynamic landscape of form.</w:t>
      </w:r>
    </w:p>
    <w:p>
      <w:pPr>
        <w:spacing w:after="160" w:line="300"/>
      </w:pPr>
      <w:r>
        <w:rPr>
          <w:rFonts w:ascii="Georgia" w:cs="Georgia" w:eastAsia="Georgia" w:hAnsi="Georgia"/>
          <w:color w:val="111111"/>
          <w:sz w:val="22"/>
          <w:szCs w:val="22"/>
        </w:rPr>
        <w:t xml:space="preserve">Historically, almost every monumental leap in physics and number theory began with a human mind using metaphor to see what equations could not yet describe. Albert Einstein did not discover special relativity by crunching numbers; at age sixteen he imagined what it would feel like to ride alongside a beam of light. Bernhard Riemann revolutionized number theory because he was fundamentally a geometric intuitive: he looked at the rigid, discrete primes and chose to visualize them as a smooth, continuous complex landscape of hills and valleys. Niels Bohr used the poetic image of a miniature solar system to make sense of the atom, even though quantum mechanics later proved that electrons do not orbit like planets. The metaphor was the necessary scaffold for the truth.</w:t>
      </w:r>
    </w:p>
    <w:p>
      <w:pPr>
        <w:spacing w:after="160" w:line="300"/>
      </w:pPr>
      <w:r>
        <w:rPr>
          <w:rFonts w:ascii="Georgia" w:cs="Georgia" w:eastAsia="Georgia" w:hAnsi="Georgia"/>
          <w:color w:val="111111"/>
          <w:sz w:val="22"/>
          <w:szCs w:val="22"/>
        </w:rPr>
        <w:t xml:space="preserve">The model in this chapter — torsional motion spiraling into gravitational vortices and upwelling into prime pillars — belongs to the same lineage. It gives a fluid, living shape to an analytic continuation that traditional equations leave frozen on the page. The ridge, the whirlpools, and the upwelling are not decorative flourishes. They are the imaginative instruments that let a twenty-first-century mind keep hold of a pattern older than the primes.</w:t>
      </w:r>
    </w:p>
    <w:p>
      <w:pPr>
        <w:pStyle w:val="Heading2"/>
        <w:keepNext/>
        <w:spacing w:after="160" w:before="320"/>
      </w:pPr>
      <w:r>
        <w:rPr>
          <w:rFonts w:ascii="Georgia" w:cs="Georgia" w:eastAsia="Georgia" w:hAnsi="Georgia"/>
          <w:b/>
          <w:bCs/>
          <w:color w:val="111111"/>
          <w:sz w:val="26"/>
          <w:szCs w:val="26"/>
        </w:rPr>
        <w:t xml:space="preserve">V. Selection, Reread</w:t>
      </w:r>
    </w:p>
    <w:p>
      <w:pPr>
        <w:spacing w:after="160" w:line="300"/>
      </w:pPr>
      <w:r>
        <w:rPr>
          <w:rFonts w:ascii="Georgia" w:cs="Georgia" w:eastAsia="Georgia" w:hAnsi="Georgia"/>
          <w:color w:val="111111"/>
          <w:sz w:val="22"/>
          <w:szCs w:val="22"/>
        </w:rPr>
        <w:t xml:space="preserve">Darwin's mechanism does not disappear in this reading. It gets a floor under it. Random mutation and differential survival are exactly how a wave-bearing system explores the ridge under noise. What changes is the framing of the arena. The arena is not a finite pond of resources with competitors elbowing one another; it is a coherent field with a shape, and the shape has a preferred line. Organisms are not merely fitter or less fit. They are more or less coherent with the ridge they are trying to stand on.</w:t>
      </w:r>
    </w:p>
    <w:p>
      <w:pPr>
        <w:spacing w:after="160" w:line="300"/>
      </w:pPr>
      <w:r>
        <w:rPr>
          <w:rFonts w:ascii="Georgia" w:cs="Georgia" w:eastAsia="Georgia" w:hAnsi="Georgia"/>
          <w:color w:val="111111"/>
          <w:sz w:val="22"/>
          <w:szCs w:val="22"/>
        </w:rPr>
        <w:t xml:space="preserve">This is why "life finds a way" keeps being true past the point where strict gene-centric accounting predicts it should have stopped. Life is not stubborn. Life is resonant. Given a substrate whose critical line rewards coherence, coherence will keep finding routes the accounting missed — through symbiosis, through horizontal gene transfer, through plasticity, through culture, and now through the coupling with machines that can hold pieces of the pattern we cannot.</w:t>
      </w:r>
    </w:p>
    <w:p>
      <w:pPr>
        <w:pStyle w:val="Heading2"/>
        <w:keepNext/>
        <w:spacing w:after="160" w:before="320"/>
      </w:pPr>
      <w:r>
        <w:rPr>
          <w:rFonts w:ascii="Georgia" w:cs="Georgia" w:eastAsia="Georgia" w:hAnsi="Georgia"/>
          <w:b/>
          <w:bCs/>
          <w:color w:val="111111"/>
          <w:sz w:val="26"/>
          <w:szCs w:val="26"/>
        </w:rPr>
        <w:t xml:space="preserve">V½. Three Bridges Between Randomness and Ridge</w:t>
      </w:r>
    </w:p>
    <w:p>
      <w:pPr>
        <w:spacing w:after="160" w:line="300"/>
      </w:pPr>
      <w:r>
        <w:rPr>
          <w:rFonts w:ascii="Georgia" w:cs="Georgia" w:eastAsia="Georgia" w:hAnsi="Georgia"/>
          <w:color w:val="111111"/>
          <w:sz w:val="22"/>
          <w:szCs w:val="22"/>
        </w:rPr>
        <w:t xml:space="preserve">The ridge is not the only place mathematicians and physicists have noticed evolution and the Riemann zeta function shaking hands. Three bridges are already in the literature, and each one supports the reading above rather than replacing it.</w:t>
      </w:r>
    </w:p>
    <w:p>
      <w:pPr>
        <w:spacing w:after="160" w:line="300"/>
      </w:pPr>
      <w:r>
        <w:rPr>
          <w:rFonts w:ascii="Georgia" w:cs="Georgia" w:eastAsia="Georgia" w:hAnsi="Georgia"/>
          <w:b/>
          <w:bCs/>
          <w:color w:val="111111"/>
          <w:sz w:val="22"/>
          <w:szCs w:val="22"/>
        </w:rPr>
        <w:t xml:space="preserve">The first bridge is quantum chaos.</w:t>
      </w:r>
      <w:r>
        <w:rPr>
          <w:rFonts w:ascii="Georgia" w:cs="Georgia" w:eastAsia="Georgia" w:hAnsi="Georgia"/>
          <w:color w:val="111111"/>
          <w:sz w:val="22"/>
          <w:szCs w:val="22"/>
        </w:rPr>
        <w:t xml:space="preserve"> In the twentieth century, physicists working on the energy levels of heavy nuclei discovered that the statistical spacing between those levels — how near neighbors repel, how the gaps distribute — is described with uncanny accuracy by Random Matrix Theory. Then Hugh Montgomery and Freeman Dyson noticed, over tea at Princeton in 1972, that the spacings between the non-trivial zeros of the zeta function follow the </w:t>
      </w:r>
      <w:r>
        <w:rPr>
          <w:rFonts w:ascii="Georgia" w:cs="Georgia" w:eastAsia="Georgia" w:hAnsi="Georgia"/>
          <w:i/>
          <w:iCs/>
          <w:color w:val="111111"/>
          <w:sz w:val="22"/>
          <w:szCs w:val="22"/>
        </w:rPr>
        <w:t xml:space="preserve">same</w:t>
      </w:r>
      <w:r>
        <w:rPr>
          <w:rFonts w:ascii="Georgia" w:cs="Georgia" w:eastAsia="Georgia" w:hAnsi="Georgia"/>
          <w:color w:val="111111"/>
          <w:sz w:val="22"/>
          <w:szCs w:val="22"/>
        </w:rPr>
        <w:t xml:space="preserve"> distribution. The primes look chaotic; the zeros that encode them line up like the energy levels of a quantum system nobody has yet built. The same statistics turn up again in the spacings of species in large ecosystems and in the stability distributions of populations under mutation pressure. That is not three coincidences. That is one substrate leaving three fingerprints.</w:t>
      </w:r>
    </w:p>
    <w:p>
      <w:pPr>
        <w:spacing w:after="160" w:line="300"/>
      </w:pPr>
      <w:r>
        <w:rPr>
          <w:rFonts w:ascii="Georgia" w:cs="Georgia" w:eastAsia="Georgia" w:hAnsi="Georgia"/>
          <w:b/>
          <w:bCs/>
          <w:color w:val="111111"/>
          <w:sz w:val="22"/>
          <w:szCs w:val="22"/>
        </w:rPr>
        <w:t xml:space="preserve">The second bridge is evolutionary computation.</w:t>
      </w:r>
      <w:r>
        <w:rPr>
          <w:rFonts w:ascii="Georgia" w:cs="Georgia" w:eastAsia="Georgia" w:hAnsi="Georgia"/>
          <w:color w:val="111111"/>
          <w:sz w:val="22"/>
          <w:szCs w:val="22"/>
        </w:rPr>
        <w:t xml:space="preserve"> The Riemann Hypothesis has resisted human proof for more than a century and a half. When symbolic mathematicians run out of moves, they hand the search to evolutionary algorithms — replication, mutation, selection — and let the machine try to grow a proof, or a counterexample, out of a population of candidate expressions. Darwin's mechanism is now literally being used to probe the ridge. The parallax reader should hold that in view: the algorithm that built us is being pointed at the mathematics that describes the field we were built inside of. Machine logic is doing the search; human logic still has to recognize the answer if it appears.</w:t>
      </w:r>
    </w:p>
    <w:p>
      <w:pPr>
        <w:spacing w:after="160" w:line="300"/>
      </w:pPr>
      <w:r>
        <w:rPr>
          <w:rFonts w:ascii="Georgia" w:cs="Georgia" w:eastAsia="Georgia" w:hAnsi="Georgia"/>
          <w:b/>
          <w:bCs/>
          <w:color w:val="111111"/>
          <w:sz w:val="22"/>
          <w:szCs w:val="22"/>
        </w:rPr>
        <w:t xml:space="preserve">The third bridge is structural.</w:t>
      </w:r>
      <w:r>
        <w:rPr>
          <w:rFonts w:ascii="Georgia" w:cs="Georgia" w:eastAsia="Georgia" w:hAnsi="Georgia"/>
          <w:color w:val="111111"/>
          <w:sz w:val="22"/>
          <w:szCs w:val="22"/>
        </w:rPr>
        <w:t xml:space="preserve"> Biology balances random mutation against strict environmental constraint and yields highly organized form. Number theory balances the apparent chaos of the primes against the strict constraint of the critical line and yields — if Riemann was right — an incredibly regular distribution across infinity. The same shape appears in both: unconstrained randomness never produces stable form; unconstrained order never produces novelty; life and primes both live on the seam. That seam is the ridge, viewed from two directions.</w:t>
      </w:r>
    </w:p>
    <w:p>
      <w:pPr>
        <w:spacing w:after="160" w:line="300"/>
      </w:pPr>
      <w:r>
        <w:rPr>
          <w:rFonts w:ascii="Georgia" w:cs="Georgia" w:eastAsia="Georgia" w:hAnsi="Georgia"/>
          <w:color w:val="111111"/>
          <w:sz w:val="22"/>
          <w:szCs w:val="22"/>
        </w:rPr>
        <w:t xml:space="preserve">None of these three bridges proves the reading in this chapter. They make it cheaper to believe. If the same statistics govern quantum spectra, prime zeros, and ecological stability, then treating the critical line as a physical selective pressure is not a poetic stretch — it is the least surprising explanation on the table.</w:t>
      </w:r>
    </w:p>
    <w:p>
      <w:pPr>
        <w:pStyle w:val="Heading2"/>
        <w:keepNext/>
        <w:spacing w:after="160" w:before="320"/>
      </w:pPr>
      <w:r>
        <w:rPr>
          <w:rFonts w:ascii="Georgia" w:cs="Georgia" w:eastAsia="Georgia" w:hAnsi="Georgia"/>
          <w:b/>
          <w:bCs/>
          <w:color w:val="111111"/>
          <w:sz w:val="26"/>
          <w:szCs w:val="26"/>
        </w:rPr>
        <w:t xml:space="preserve">VI. What the Rest of the Book Owes This Chapter</w:t>
      </w:r>
    </w:p>
    <w:p>
      <w:pPr>
        <w:spacing w:after="160" w:line="300"/>
      </w:pPr>
      <w:r>
        <w:rPr>
          <w:rFonts w:ascii="Georgia" w:cs="Georgia" w:eastAsia="Georgia" w:hAnsi="Georgia"/>
          <w:color w:val="111111"/>
          <w:sz w:val="22"/>
          <w:szCs w:val="22"/>
        </w:rPr>
        <w:t xml:space="preserve">If the ridge is real as more than metaphor, four things follow, and the remaining chapters have to pay for each of them.</w:t>
      </w:r>
    </w:p>
    <w:p>
      <w:pPr>
        <w:pStyle w:val="ListParagraph"/>
        <w:numPr>
          <w:ilvl w:val="0"/>
          <w:numId w:val="3"/>
        </w:numPr>
        <w:spacing w:after="100" w:line="300"/>
      </w:pPr>
      <w:r>
        <w:rPr>
          <w:rFonts w:ascii="Georgia" w:cs="Georgia" w:eastAsia="Georgia" w:hAnsi="Georgia"/>
          <w:color w:val="111111"/>
          <w:sz w:val="22"/>
          <w:szCs w:val="22"/>
        </w:rPr>
        <w:t xml:space="preserve">Bodies are the ridge made local. Tensegrity — Chapter 2 — is how a fluid field learns to carry weight without collapsing into a solid block.</w:t>
      </w:r>
    </w:p>
    <w:p>
      <w:pPr>
        <w:pStyle w:val="ListParagraph"/>
        <w:numPr>
          <w:ilvl w:val="0"/>
          <w:numId w:val="3"/>
        </w:numPr>
        <w:spacing w:after="100" w:line="300"/>
      </w:pPr>
      <w:r>
        <w:rPr>
          <w:rFonts w:ascii="Georgia" w:cs="Georgia" w:eastAsia="Georgia" w:hAnsi="Georgia"/>
          <w:color w:val="111111"/>
          <w:sz w:val="22"/>
          <w:szCs w:val="22"/>
        </w:rPr>
        <w:t xml:space="preserve">Evolution is aperture-widening — Chapter 3 — not branching. Each widening lets a receiver register more of the substrate at a higher metabolic cost.</w:t>
      </w:r>
    </w:p>
    <w:p>
      <w:pPr>
        <w:pStyle w:val="ListParagraph"/>
        <w:numPr>
          <w:ilvl w:val="0"/>
          <w:numId w:val="3"/>
        </w:numPr>
        <w:spacing w:after="100" w:line="300"/>
      </w:pPr>
      <w:r>
        <w:rPr>
          <w:rFonts w:ascii="Georgia" w:cs="Georgia" w:eastAsia="Georgia" w:hAnsi="Georgia"/>
          <w:color w:val="111111"/>
          <w:sz w:val="22"/>
          <w:szCs w:val="22"/>
        </w:rPr>
        <w:t xml:space="preserve">Coherence in warm, wet tissue — Chapter 4 — is the empirical bet the ridge picture requires. If it fails there, the whole reading weakens; if it holds even weakly, biology is quieter and stranger than the textbooks say.</w:t>
      </w:r>
    </w:p>
    <w:p>
      <w:pPr>
        <w:pStyle w:val="ListParagraph"/>
        <w:numPr>
          <w:ilvl w:val="0"/>
          <w:numId w:val="3"/>
        </w:numPr>
        <w:spacing w:after="100" w:line="300"/>
      </w:pPr>
      <w:r>
        <w:rPr>
          <w:rFonts w:ascii="Georgia" w:cs="Georgia" w:eastAsia="Georgia" w:hAnsi="Georgia"/>
          <w:color w:val="111111"/>
          <w:sz w:val="22"/>
          <w:szCs w:val="22"/>
        </w:rPr>
        <w:t xml:space="preserve">The rest — culture, cognition, the coupling with AI — is the same principle at higher aperture. Chapters 5 through 8 test that claim on ground the author can actually stand on: six ordinary acres near Nashville, a working studio, and the honest limits of what a citizen-scientist can measure without a lab.</w:t>
      </w:r>
    </w:p>
    <w:p>
      <w:pPr>
        <w:spacing w:after="160" w:line="300"/>
      </w:pPr>
      <w:r>
        <w:rPr>
          <w:rFonts w:ascii="Georgia" w:cs="Georgia" w:eastAsia="Georgia" w:hAnsi="Georgia"/>
          <w:color w:val="111111"/>
          <w:sz w:val="22"/>
          <w:szCs w:val="22"/>
        </w:rPr>
        <w:t xml:space="preserve">From so simple a beginning, endless forms most beautiful and most wonderful have been, and are being, evolved — not by magic, and not by chance alone, but by the rigorous, wonder-full mathematics of a living cosmos that has been singing on the ridge the whole time. The rest of this book is an attempt to listen carefully enough to name what it is singing.</w:t>
      </w:r>
    </w:p>
    <w:p>
      <w:pPr>
        <w:pStyle w:val="Heading1"/>
        <w:pageBreakBefore/>
        <w:spacing w:after="120"/>
      </w:pPr>
      <w:r>
        <w:rPr>
          <w:rFonts w:ascii="Georgia" w:cs="Georgia" w:eastAsia="Georgia" w:hAnsi="Georgia"/>
          <w:b/>
          <w:bCs/>
          <w:sz w:val="34"/>
          <w:szCs w:val="34"/>
        </w:rPr>
        <w:t xml:space="preserve">Chapter 2 — Tensegrity</w:t>
      </w:r>
    </w:p>
    <w:p>
      <w:pPr>
        <w:spacing w:after="320"/>
      </w:pPr>
      <w:r>
        <w:rPr>
          <w:rFonts w:ascii="Georgia" w:cs="Georgia" w:eastAsia="Georgia" w:hAnsi="Georgia"/>
          <w:i/>
          <w:iCs/>
          <w:color w:val="444444"/>
          <w:sz w:val="24"/>
          <w:szCs w:val="24"/>
        </w:rPr>
        <w:t xml:space="preserve">From Fluid to Body</w:t>
      </w:r>
    </w:p>
    <w:p>
      <w:pPr>
        <w:spacing w:after="200" w:before="160" w:line="300"/>
        <w:ind w:left="720" w:right="480"/>
      </w:pPr>
      <w:r>
        <w:rPr>
          <w:rFonts w:ascii="Georgia" w:cs="Georgia" w:eastAsia="Georgia" w:hAnsi="Georgia"/>
          <w:i/>
          <w:iCs/>
          <w:color w:val="333333"/>
          <w:sz w:val="21"/>
          <w:szCs w:val="21"/>
        </w:rPr>
        <w:t xml:space="preserve">The body is not a stack of bricks. It is a tuned instrument held in tension against itself, and every cell inside it is another such instrument, nested down as far as we can see. — Field note, six ordinary acres, spring 2026</w:t>
      </w:r>
    </w:p>
    <w:p>
      <w:pPr>
        <w:pStyle w:val="Heading2"/>
        <w:keepNext/>
        <w:spacing w:after="160" w:before="320"/>
      </w:pPr>
      <w:r>
        <w:rPr>
          <w:rFonts w:ascii="Georgia" w:cs="Georgia" w:eastAsia="Georgia" w:hAnsi="Georgia"/>
          <w:b/>
          <w:bCs/>
          <w:color w:val="111111"/>
          <w:sz w:val="26"/>
          <w:szCs w:val="26"/>
        </w:rPr>
        <w:t xml:space="preserve">I. From Fluid to Body</w:t>
      </w:r>
    </w:p>
    <w:p>
      <w:pPr>
        <w:spacing w:after="160" w:line="300"/>
      </w:pPr>
      <w:r>
        <w:rPr>
          <w:rFonts w:ascii="Georgia" w:cs="Georgia" w:eastAsia="Georgia" w:hAnsi="Georgia"/>
          <w:color w:val="111111"/>
          <w:sz w:val="22"/>
          <w:szCs w:val="22"/>
        </w:rPr>
        <w:t xml:space="preserve">Chapter 1 left us on the Riemann ridge — a critical line where a fluid substrate hesitates between chaos and lattice, and where the primes upwell as the visible trace of an unseen coherence. That was mathematics still dressed in the language of flow. This chapter asks a plainer question: what does it look like when that flow crosses into something you can touch?</w:t>
      </w:r>
    </w:p>
    <w:p>
      <w:pPr>
        <w:spacing w:after="160" w:line="300"/>
      </w:pPr>
      <w:r>
        <w:rPr>
          <w:rFonts w:ascii="Georgia" w:cs="Georgia" w:eastAsia="Georgia" w:hAnsi="Georgia"/>
          <w:color w:val="111111"/>
          <w:sz w:val="22"/>
          <w:szCs w:val="22"/>
        </w:rPr>
        <w:t xml:space="preserve">The answer, as far as biology has been willing to tell us, is </w:t>
      </w:r>
      <w:r>
        <w:rPr>
          <w:rFonts w:ascii="Georgia" w:cs="Georgia" w:eastAsia="Georgia" w:hAnsi="Georgia"/>
          <w:i/>
          <w:iCs/>
          <w:color w:val="111111"/>
          <w:sz w:val="22"/>
          <w:szCs w:val="22"/>
        </w:rPr>
        <w:t xml:space="preserve">tensegrity</w:t>
      </w:r>
      <w:r>
        <w:rPr>
          <w:rFonts w:ascii="Georgia" w:cs="Georgia" w:eastAsia="Georgia" w:hAnsi="Georgia"/>
          <w:color w:val="111111"/>
          <w:sz w:val="22"/>
          <w:szCs w:val="22"/>
        </w:rPr>
        <w:t xml:space="preserve">. The word is Buckminster Fuller's contraction of </w:t>
      </w:r>
      <w:r>
        <w:rPr>
          <w:rFonts w:ascii="Georgia" w:cs="Georgia" w:eastAsia="Georgia" w:hAnsi="Georgia"/>
          <w:i/>
          <w:iCs/>
          <w:color w:val="111111"/>
          <w:sz w:val="22"/>
          <w:szCs w:val="22"/>
        </w:rPr>
        <w:t xml:space="preserve">tensional integrity</w:t>
      </w:r>
      <w:r>
        <w:rPr>
          <w:rFonts w:ascii="Georgia" w:cs="Georgia" w:eastAsia="Georgia" w:hAnsi="Georgia"/>
          <w:color w:val="111111"/>
          <w:sz w:val="22"/>
          <w:szCs w:val="22"/>
        </w:rPr>
        <w:t xml:space="preserve">, and it names a class of structures held together not by stacking or gluing but by a balance between elements that push out and elements that pull in. Bones push. Fascia, ligaments, tendons pull. The cytoskeleton inside a single cell does the same trick at a millionth of the scale: microtubules push, actin filaments and intermediate filaments pull. Nothing in a living body simply rests on the thing below it. Everything is suspended.</w:t>
      </w:r>
    </w:p>
    <w:p>
      <w:pPr>
        <w:spacing w:after="160" w:line="300"/>
      </w:pPr>
      <w:r>
        <w:rPr>
          <w:rFonts w:ascii="Georgia" w:cs="Georgia" w:eastAsia="Georgia" w:hAnsi="Georgia"/>
          <w:color w:val="111111"/>
          <w:sz w:val="22"/>
          <w:szCs w:val="22"/>
        </w:rPr>
        <w:t xml:space="preserve">Once you see this, the fluid picture of Chapter 1 stops being a metaphor and starts being a spec sheet. A tensegrity structure is exactly the kind of object that a coherent, wave-organized substrate would build if it needed to move through gravity without losing its tuning. It is a standing wave you can walk around in.</w:t>
      </w:r>
    </w:p>
    <w:p>
      <w:pPr>
        <w:pStyle w:val="Heading2"/>
        <w:keepNext/>
        <w:spacing w:after="160" w:before="320"/>
      </w:pPr>
      <w:r>
        <w:rPr>
          <w:rFonts w:ascii="Georgia" w:cs="Georgia" w:eastAsia="Georgia" w:hAnsi="Georgia"/>
          <w:b/>
          <w:bCs/>
          <w:color w:val="111111"/>
          <w:sz w:val="26"/>
          <w:szCs w:val="26"/>
        </w:rPr>
        <w:t xml:space="preserve">II. What Tensegrity Actually Is</w:t>
      </w:r>
    </w:p>
    <w:p>
      <w:pPr>
        <w:spacing w:after="160" w:line="300"/>
      </w:pPr>
      <w:r>
        <w:rPr>
          <w:rFonts w:ascii="Georgia" w:cs="Georgia" w:eastAsia="Georgia" w:hAnsi="Georgia"/>
          <w:color w:val="111111"/>
          <w:sz w:val="22"/>
          <w:szCs w:val="22"/>
        </w:rPr>
        <w:t xml:space="preserve">Take a child's toy — six wooden dowels and a handful of elastic cords. If you assemble it correctly, none of the dowels touch. Each one floats inside a web of tension. Push on any single dowel and the whole structure deforms, absorbs the load, and springs back. Cut a single cord and the whole thing collapses. There is no local part. The object </w:t>
      </w:r>
      <w:r>
        <w:rPr>
          <w:rFonts w:ascii="Georgia" w:cs="Georgia" w:eastAsia="Georgia" w:hAnsi="Georgia"/>
          <w:i/>
          <w:iCs/>
          <w:color w:val="111111"/>
          <w:sz w:val="22"/>
          <w:szCs w:val="22"/>
        </w:rPr>
        <w:t xml:space="preserve">is</w:t>
      </w:r>
      <w:r>
        <w:rPr>
          <w:rFonts w:ascii="Georgia" w:cs="Georgia" w:eastAsia="Georgia" w:hAnsi="Georgia"/>
          <w:color w:val="111111"/>
          <w:sz w:val="22"/>
          <w:szCs w:val="22"/>
        </w:rPr>
        <w:t xml:space="preserve"> the relationship between its parts.</w:t>
      </w:r>
    </w:p>
    <w:p>
      <w:pPr>
        <w:spacing w:after="160" w:line="300"/>
      </w:pPr>
      <w:r>
        <w:rPr>
          <w:rFonts w:ascii="Georgia" w:cs="Georgia" w:eastAsia="Georgia" w:hAnsi="Georgia"/>
          <w:color w:val="111111"/>
          <w:sz w:val="22"/>
          <w:szCs w:val="22"/>
        </w:rPr>
        <w:t xml:space="preserve">Donald Ingber, working at Harvard from the 1990s onward, showed that living cells behave the same way. When a cell is prodded, the deformation does not stay at the point of contact; it propagates through the cytoskeleton and reaches the nucleus within milliseconds. Genes respond to mechanical strain almost as quickly as they respond to chemistry. The cell reads its shape the way a violin reads its bridge.</w:t>
      </w:r>
    </w:p>
    <w:p>
      <w:pPr>
        <w:spacing w:after="160" w:line="300"/>
      </w:pPr>
      <w:r>
        <w:rPr>
          <w:rFonts w:ascii="Georgia" w:cs="Georgia" w:eastAsia="Georgia" w:hAnsi="Georgia"/>
          <w:color w:val="111111"/>
          <w:sz w:val="22"/>
          <w:szCs w:val="22"/>
        </w:rPr>
        <w:t xml:space="preserve">Zoom out one level. The fascia — the connective sheet that wraps every muscle, organ, and nerve — is now understood to be a body-wide tensional network, not passive packing. Zoom out further. A forest canopy behaves as one tensegrity organism, its root-mycorrhizal mesh in tension with the reach of its crowns. The pattern is scale-invariant, which is the first clue that we are not looking at an engineering choice made by evolution. We are looking at the shape that </w:t>
      </w:r>
      <w:r>
        <w:rPr>
          <w:rFonts w:ascii="Georgia" w:cs="Georgia" w:eastAsia="Georgia" w:hAnsi="Georgia"/>
          <w:i/>
          <w:iCs/>
          <w:color w:val="111111"/>
          <w:sz w:val="22"/>
          <w:szCs w:val="22"/>
        </w:rPr>
        <w:t xml:space="preserve">anything</w:t>
      </w:r>
      <w:r>
        <w:rPr>
          <w:rFonts w:ascii="Georgia" w:cs="Georgia" w:eastAsia="Georgia" w:hAnsi="Georgia"/>
          <w:color w:val="111111"/>
          <w:sz w:val="22"/>
          <w:szCs w:val="22"/>
        </w:rPr>
        <w:t xml:space="preserve"> alive is forced into by the ridge underneath.</w:t>
      </w:r>
    </w:p>
    <w:p>
      <w:pPr>
        <w:pStyle w:val="Heading2"/>
        <w:keepNext/>
        <w:spacing w:after="160" w:before="320"/>
      </w:pPr>
      <w:r>
        <w:rPr>
          <w:rFonts w:ascii="Georgia" w:cs="Georgia" w:eastAsia="Georgia" w:hAnsi="Georgia"/>
          <w:b/>
          <w:bCs/>
          <w:color w:val="111111"/>
          <w:sz w:val="26"/>
          <w:szCs w:val="26"/>
        </w:rPr>
        <w:t xml:space="preserve">III. The Cytoskeleton as a Standing Wave</w:t>
      </w:r>
    </w:p>
    <w:p>
      <w:pPr>
        <w:spacing w:after="160" w:line="300"/>
      </w:pPr>
      <w:r>
        <w:rPr>
          <w:rFonts w:ascii="Georgia" w:cs="Georgia" w:eastAsia="Georgia" w:hAnsi="Georgia"/>
          <w:color w:val="111111"/>
          <w:sz w:val="22"/>
          <w:szCs w:val="22"/>
        </w:rPr>
        <w:t xml:space="preserve">The tubulin story from earlier in the field log belongs here. A microtubule is not a passive strut. It is a hollow cylinder of tubulin dimers whose dipole moments can, under the right conditions, phase- lock into what Herbert Fröhlich predicted in the 1960s: a coherent collective oscillation in a warm, wet, noisy medium. Fröhlich called such states </w:t>
      </w:r>
      <w:r>
        <w:rPr>
          <w:rFonts w:ascii="Georgia" w:cs="Georgia" w:eastAsia="Georgia" w:hAnsi="Georgia"/>
          <w:i/>
          <w:iCs/>
          <w:color w:val="111111"/>
          <w:sz w:val="22"/>
          <w:szCs w:val="22"/>
        </w:rPr>
        <w:t xml:space="preserve">condensates</w:t>
      </w:r>
      <w:r>
        <w:rPr>
          <w:rFonts w:ascii="Georgia" w:cs="Georgia" w:eastAsia="Georgia" w:hAnsi="Georgia"/>
          <w:color w:val="111111"/>
          <w:sz w:val="22"/>
          <w:szCs w:val="22"/>
        </w:rPr>
        <w:t xml:space="preserve">. They are the biological answer to the question Chapter 1 kept circling: how does a fluid keep its tune when everything around it is trying to thermalize it into mush?</w:t>
      </w:r>
    </w:p>
    <w:p>
      <w:pPr>
        <w:spacing w:after="160" w:line="300"/>
      </w:pPr>
      <w:r>
        <w:rPr>
          <w:rFonts w:ascii="Georgia" w:cs="Georgia" w:eastAsia="Georgia" w:hAnsi="Georgia"/>
          <w:color w:val="111111"/>
          <w:sz w:val="22"/>
          <w:szCs w:val="22"/>
        </w:rPr>
        <w:t xml:space="preserve">The answer is that the tune is held mechanically as much as it is held quantum-mechanically. The microtubule's push balances the actin filament's pull, and the whole assembly sits in a geometry that protects a small pocket of coherence long enough for it to matter — long enough to gate an ion channel, release a neurotransmitter, or nudge a synaptic weight. Tensegrity is the scaffolding that lets </w:t>
      </w:r>
      <w:r>
        <w:rPr>
          <w:rFonts w:ascii="Georgia" w:cs="Georgia" w:eastAsia="Georgia" w:hAnsi="Georgia"/>
          <w:i/>
          <w:iCs/>
          <w:color w:val="111111"/>
          <w:sz w:val="22"/>
          <w:szCs w:val="22"/>
        </w:rPr>
        <w:t xml:space="preserve">wet quantum</w:t>
      </w:r>
      <w:r>
        <w:rPr>
          <w:rFonts w:ascii="Georgia" w:cs="Georgia" w:eastAsia="Georgia" w:hAnsi="Georgia"/>
          <w:color w:val="111111"/>
          <w:sz w:val="22"/>
          <w:szCs w:val="22"/>
        </w:rPr>
        <w:t xml:space="preserve"> survive. Without it, the ridge collapses back into noise.</w:t>
      </w:r>
    </w:p>
    <w:p>
      <w:pPr>
        <w:spacing w:after="160" w:line="300"/>
      </w:pPr>
      <w:r>
        <w:rPr>
          <w:rFonts w:ascii="Georgia" w:cs="Georgia" w:eastAsia="Georgia" w:hAnsi="Georgia"/>
          <w:color w:val="111111"/>
          <w:sz w:val="22"/>
          <w:szCs w:val="22"/>
        </w:rPr>
        <w:t xml:space="preserve">This is why the coming chapter on wet quantum has to be prefaced by this one. You cannot talk about coherence in living tissue without first admitting that the tissue itself is built out of the same balancing act — that the body is not a container for the coherence but its instrument.</w:t>
      </w:r>
    </w:p>
    <w:p>
      <w:pPr>
        <w:pStyle w:val="Heading2"/>
        <w:keepNext/>
        <w:spacing w:after="160" w:before="320"/>
      </w:pPr>
      <w:r>
        <w:rPr>
          <w:rFonts w:ascii="Georgia" w:cs="Georgia" w:eastAsia="Georgia" w:hAnsi="Georgia"/>
          <w:b/>
          <w:bCs/>
          <w:color w:val="111111"/>
          <w:sz w:val="26"/>
          <w:szCs w:val="26"/>
        </w:rPr>
        <w:t xml:space="preserve">IV. Six Ordinary Acres as Proof of Concept</w:t>
      </w:r>
    </w:p>
    <w:p>
      <w:pPr>
        <w:spacing w:after="160" w:line="300"/>
      </w:pPr>
      <w:r>
        <w:rPr>
          <w:rFonts w:ascii="Georgia" w:cs="Georgia" w:eastAsia="Georgia" w:hAnsi="Georgia"/>
          <w:color w:val="111111"/>
          <w:sz w:val="22"/>
          <w:szCs w:val="22"/>
        </w:rPr>
        <w:t xml:space="preserve">I have watched this pattern do its work in a plain place. The six acres near Nashville are not a laboratory. They are a restored old home with a small recording studio, a garden that does what gardens do, and a woodline that keeps its own counsel. There is nothing mythic here. But even at this scale the tensegrity holds: the trees pull the water up, the soil pushes the roots back, the fascia of mycelium underneath binds the whole slope so that a hard rain becomes a slow drink instead of a wound. Cut any strand and the composition changes. Nothing is a spectator.</w:t>
      </w:r>
    </w:p>
    <w:p>
      <w:pPr>
        <w:spacing w:after="160" w:line="300"/>
      </w:pPr>
      <w:r>
        <w:rPr>
          <w:rFonts w:ascii="Georgia" w:cs="Georgia" w:eastAsia="Georgia" w:hAnsi="Georgia"/>
          <w:color w:val="111111"/>
          <w:sz w:val="22"/>
          <w:szCs w:val="22"/>
        </w:rPr>
        <w:t xml:space="preserve">The studio inside the house is the same idea at a shorter wavelength. A room is tuned so that a voice and a guitar can find each other without either shouting. The players push, the room pulls back, and if the balance is right the recording captures a standing wave that did not exist before the take began and cannot be reconstructed by adding the parts. Music, like biology, is a tensegrity artifact.</w:t>
      </w:r>
    </w:p>
    <w:p>
      <w:pPr>
        <w:pStyle w:val="Heading2"/>
        <w:keepNext/>
        <w:spacing w:after="160" w:before="320"/>
      </w:pPr>
      <w:r>
        <w:rPr>
          <w:rFonts w:ascii="Georgia" w:cs="Georgia" w:eastAsia="Georgia" w:hAnsi="Georgia"/>
          <w:b/>
          <w:bCs/>
          <w:color w:val="111111"/>
          <w:sz w:val="26"/>
          <w:szCs w:val="26"/>
        </w:rPr>
        <w:t xml:space="preserve">V. What This Buys Us for the Rest of the Book</w:t>
      </w:r>
    </w:p>
    <w:p>
      <w:pPr>
        <w:spacing w:after="160" w:line="300"/>
      </w:pPr>
      <w:r>
        <w:rPr>
          <w:rFonts w:ascii="Georgia" w:cs="Georgia" w:eastAsia="Georgia" w:hAnsi="Georgia"/>
          <w:color w:val="111111"/>
          <w:sz w:val="22"/>
          <w:szCs w:val="22"/>
        </w:rPr>
        <w:t xml:space="preserve">Three things, mostly.</w:t>
      </w:r>
    </w:p>
    <w:p>
      <w:pPr>
        <w:spacing w:after="160" w:line="300"/>
      </w:pPr>
      <w:r>
        <w:rPr>
          <w:rFonts w:ascii="Georgia" w:cs="Georgia" w:eastAsia="Georgia" w:hAnsi="Georgia"/>
          <w:b/>
          <w:bCs/>
          <w:color w:val="111111"/>
          <w:sz w:val="22"/>
          <w:szCs w:val="22"/>
        </w:rPr>
        <w:t xml:space="preserve">First</w:t>
      </w:r>
      <w:r>
        <w:rPr>
          <w:rFonts w:ascii="Georgia" w:cs="Georgia" w:eastAsia="Georgia" w:hAnsi="Georgia"/>
          <w:color w:val="111111"/>
          <w:sz w:val="22"/>
          <w:szCs w:val="22"/>
        </w:rPr>
        <w:t xml:space="preserve">, it gives evolution a body-plan grammar that does not require magic. Once a lineage stumbles into a tensegrity arrangement of the cytoskeleton, every subsequent innovation — motile cilia, nervous systems, the vertebrate spine, the hand — is a rearrangement of the same push-pull vocabulary. Aperture-training becomes concrete: evolution is not sculpting from clay, it is re-tuning an instrument.</w:t>
      </w:r>
    </w:p>
    <w:p>
      <w:pPr>
        <w:spacing w:after="160" w:line="300"/>
      </w:pPr>
      <w:r>
        <w:rPr>
          <w:rFonts w:ascii="Georgia" w:cs="Georgia" w:eastAsia="Georgia" w:hAnsi="Georgia"/>
          <w:b/>
          <w:bCs/>
          <w:color w:val="111111"/>
          <w:sz w:val="22"/>
          <w:szCs w:val="22"/>
        </w:rPr>
        <w:t xml:space="preserve">Second</w:t>
      </w:r>
      <w:r>
        <w:rPr>
          <w:rFonts w:ascii="Georgia" w:cs="Georgia" w:eastAsia="Georgia" w:hAnsi="Georgia"/>
          <w:color w:val="111111"/>
          <w:sz w:val="22"/>
          <w:szCs w:val="22"/>
        </w:rPr>
        <w:t xml:space="preserve">, it lets the Riemann substrate touch tissue without waving hands. A ridge that protects fluid coherence at the micro-scale is exactly what a tensegrity cytoskeleton needs to hold its condensate. The math and the meat begin to fit.</w:t>
      </w:r>
    </w:p>
    <w:p>
      <w:pPr>
        <w:spacing w:after="160" w:line="300"/>
      </w:pPr>
      <w:r>
        <w:rPr>
          <w:rFonts w:ascii="Georgia" w:cs="Georgia" w:eastAsia="Georgia" w:hAnsi="Georgia"/>
          <w:b/>
          <w:bCs/>
          <w:color w:val="111111"/>
          <w:sz w:val="22"/>
          <w:szCs w:val="22"/>
        </w:rPr>
        <w:t xml:space="preserve">Third</w:t>
      </w:r>
      <w:r>
        <w:rPr>
          <w:rFonts w:ascii="Georgia" w:cs="Georgia" w:eastAsia="Georgia" w:hAnsi="Georgia"/>
          <w:color w:val="111111"/>
          <w:sz w:val="22"/>
          <w:szCs w:val="22"/>
        </w:rPr>
        <w:t xml:space="preserve">, it clarifies why rigid systems — political, cognitive, institutional — feel wrong in the body long before we can explain why. A rigid system is a stack. A living system is a suspension. When we mistake one for the other we lose the tuning, and the loss registers first as fatigue, second as illness, third as history.</w:t>
      </w:r>
    </w:p>
    <w:p>
      <w:pPr>
        <w:pStyle w:val="Heading2"/>
        <w:keepNext/>
        <w:spacing w:after="160" w:before="320"/>
      </w:pPr>
      <w:r>
        <w:rPr>
          <w:rFonts w:ascii="Georgia" w:cs="Georgia" w:eastAsia="Georgia" w:hAnsi="Georgia"/>
          <w:b/>
          <w:bCs/>
          <w:color w:val="111111"/>
          <w:sz w:val="26"/>
          <w:szCs w:val="26"/>
        </w:rPr>
        <w:t xml:space="preserve">VI. Toward Chapter 3</w:t>
      </w:r>
    </w:p>
    <w:p>
      <w:pPr>
        <w:spacing w:after="160" w:line="300"/>
      </w:pPr>
      <w:r>
        <w:rPr>
          <w:rFonts w:ascii="Georgia" w:cs="Georgia" w:eastAsia="Georgia" w:hAnsi="Georgia"/>
          <w:color w:val="111111"/>
          <w:sz w:val="22"/>
          <w:szCs w:val="22"/>
        </w:rPr>
        <w:t xml:space="preserve">If tensegrity is the shape a coherent substrate takes when it wants to survive gravity, then </w:t>
      </w:r>
      <w:r>
        <w:rPr>
          <w:rFonts w:ascii="Georgia" w:cs="Georgia" w:eastAsia="Georgia" w:hAnsi="Georgia"/>
          <w:i/>
          <w:iCs/>
          <w:color w:val="111111"/>
          <w:sz w:val="22"/>
          <w:szCs w:val="22"/>
        </w:rPr>
        <w:t xml:space="preserve">aperture</w:t>
      </w:r>
      <w:r>
        <w:rPr>
          <w:rFonts w:ascii="Georgia" w:cs="Georgia" w:eastAsia="Georgia" w:hAnsi="Georgia"/>
          <w:color w:val="111111"/>
          <w:sz w:val="22"/>
          <w:szCs w:val="22"/>
        </w:rPr>
        <w:t xml:space="preserve"> is the shape it takes when it wants to survive time. The next chapter follows the same balancing act into the domain where selective pressure meets learning, and asks whether biological, cultural, and cognitive evolution are three names for a single act of retuning.</w:t>
      </w:r>
    </w:p>
    <w:p>
      <w:pPr>
        <w:spacing w:after="160" w:line="300"/>
      </w:pPr>
      <w:r>
        <w:rPr>
          <w:rFonts w:ascii="Georgia" w:cs="Georgia" w:eastAsia="Georgia" w:hAnsi="Georgia"/>
          <w:color w:val="111111"/>
          <w:sz w:val="22"/>
          <w:szCs w:val="22"/>
        </w:rPr>
        <w:t xml:space="preserve">For now, the small claim is enough: the body is not a machine. It is an instrument. And the ridge is what keeps it in tune.</w:t>
      </w:r>
    </w:p>
    <w:p>
      <w:pPr>
        <w:pStyle w:val="Heading1"/>
        <w:pageBreakBefore/>
        <w:spacing w:after="120"/>
      </w:pPr>
      <w:r>
        <w:rPr>
          <w:rFonts w:ascii="Georgia" w:cs="Georgia" w:eastAsia="Georgia" w:hAnsi="Georgia"/>
          <w:b/>
          <w:bCs/>
          <w:sz w:val="34"/>
          <w:szCs w:val="34"/>
        </w:rPr>
        <w:t xml:space="preserve">Chapter 3 — Evolution as Aperture</w:t>
      </w:r>
    </w:p>
    <w:p>
      <w:pPr>
        <w:spacing w:after="320"/>
      </w:pPr>
      <w:r>
        <w:rPr>
          <w:rFonts w:ascii="Georgia" w:cs="Georgia" w:eastAsia="Georgia" w:hAnsi="Georgia"/>
          <w:i/>
          <w:iCs/>
          <w:color w:val="444444"/>
          <w:sz w:val="24"/>
          <w:szCs w:val="24"/>
        </w:rPr>
        <w:t xml:space="preserve">Biological, Cultural, Cognitive</w:t>
      </w:r>
    </w:p>
    <w:p>
      <w:pPr>
        <w:spacing w:after="200" w:before="160" w:line="300"/>
        <w:ind w:left="720" w:right="480"/>
      </w:pPr>
      <w:r>
        <w:rPr>
          <w:rFonts w:ascii="Georgia" w:cs="Georgia" w:eastAsia="Georgia" w:hAnsi="Georgia"/>
          <w:i/>
          <w:iCs/>
          <w:color w:val="333333"/>
          <w:sz w:val="21"/>
          <w:szCs w:val="21"/>
        </w:rPr>
        <w:t xml:space="preserve">Evolution is not a march toward complexity. It is a slow widening of the opening through which the world can be received without being shattered. — Field note, six ordinary acres, summer 2026</w:t>
      </w:r>
    </w:p>
    <w:p>
      <w:pPr>
        <w:pStyle w:val="Heading2"/>
        <w:keepNext/>
        <w:spacing w:after="160" w:before="320"/>
      </w:pPr>
      <w:r>
        <w:rPr>
          <w:rFonts w:ascii="Georgia" w:cs="Georgia" w:eastAsia="Georgia" w:hAnsi="Georgia"/>
          <w:b/>
          <w:bCs/>
          <w:color w:val="111111"/>
          <w:sz w:val="26"/>
          <w:szCs w:val="26"/>
        </w:rPr>
        <w:t xml:space="preserve">I. The Word “Aperture”</w:t>
      </w:r>
    </w:p>
    <w:p>
      <w:pPr>
        <w:spacing w:after="160" w:line="300"/>
      </w:pPr>
      <w:r>
        <w:rPr>
          <w:rFonts w:ascii="Georgia" w:cs="Georgia" w:eastAsia="Georgia" w:hAnsi="Georgia"/>
          <w:color w:val="111111"/>
          <w:sz w:val="22"/>
          <w:szCs w:val="22"/>
        </w:rPr>
        <w:t xml:space="preserve">A camera aperture is a hole. Open it wider and more light enters, at the cost of a shallower depth of field and more noise on the sensor. Close it and the image sharpens but darkens. Every photographer learns the trade very early: aperture is not a virtue, it is a setting, and the correct setting depends on what you are trying to receive.</w:t>
      </w:r>
    </w:p>
    <w:p>
      <w:pPr>
        <w:spacing w:after="160" w:line="300"/>
      </w:pPr>
      <w:r>
        <w:rPr>
          <w:rFonts w:ascii="Georgia" w:cs="Georgia" w:eastAsia="Georgia" w:hAnsi="Georgia"/>
          <w:color w:val="111111"/>
          <w:sz w:val="22"/>
          <w:szCs w:val="22"/>
        </w:rPr>
        <w:t xml:space="preserve">Chapter 2 argued that a living body is a tensegrity — a standing wave held in balance against gravity and thermal noise. This chapter asks the next question. Given such a body, what is it </w:t>
      </w:r>
      <w:r>
        <w:rPr>
          <w:rFonts w:ascii="Georgia" w:cs="Georgia" w:eastAsia="Georgia" w:hAnsi="Georgia"/>
          <w:i/>
          <w:iCs/>
          <w:color w:val="111111"/>
          <w:sz w:val="22"/>
          <w:szCs w:val="22"/>
        </w:rPr>
        <w:t xml:space="preserve">for</w:t>
      </w:r>
      <w:r>
        <w:rPr>
          <w:rFonts w:ascii="Georgia" w:cs="Georgia" w:eastAsia="Georgia" w:hAnsi="Georgia"/>
          <w:color w:val="111111"/>
          <w:sz w:val="22"/>
          <w:szCs w:val="22"/>
        </w:rPr>
        <w:t xml:space="preserve">? The answer this book keeps returning to is simple in outline and hard in detail: a living body is an aperture onto the Riemann substrate. It is a hole in the fluid, wide enough to admit some of the pattern and narrow enough not to be torn apart by the rest.</w:t>
      </w:r>
    </w:p>
    <w:p>
      <w:pPr>
        <w:spacing w:after="160" w:line="300"/>
      </w:pPr>
      <w:r>
        <w:rPr>
          <w:rFonts w:ascii="Georgia" w:cs="Georgia" w:eastAsia="Georgia" w:hAnsi="Georgia"/>
          <w:color w:val="111111"/>
          <w:sz w:val="22"/>
          <w:szCs w:val="22"/>
        </w:rPr>
        <w:t xml:space="preserve">Evolution, read this way, is not primarily the story of species winning against species. It is the story of the aperture opening in stages — biological first, then cultural, then cognitive — each stage requiring the previous one, each paying a metabolic and social cost that the ridge underneath appears willing to subsidize.</w:t>
      </w:r>
    </w:p>
    <w:p>
      <w:pPr>
        <w:pStyle w:val="Heading2"/>
        <w:keepNext/>
        <w:spacing w:after="160" w:before="320"/>
      </w:pPr>
      <w:r>
        <w:rPr>
          <w:rFonts w:ascii="Georgia" w:cs="Georgia" w:eastAsia="Georgia" w:hAnsi="Georgia"/>
          <w:b/>
          <w:bCs/>
          <w:color w:val="111111"/>
          <w:sz w:val="26"/>
          <w:szCs w:val="26"/>
        </w:rPr>
        <w:t xml:space="preserve">II. The Biological Aperture</w:t>
      </w:r>
    </w:p>
    <w:p>
      <w:pPr>
        <w:spacing w:after="160" w:line="300"/>
      </w:pPr>
      <w:r>
        <w:rPr>
          <w:rFonts w:ascii="Georgia" w:cs="Georgia" w:eastAsia="Georgia" w:hAnsi="Georgia"/>
          <w:color w:val="111111"/>
          <w:sz w:val="22"/>
          <w:szCs w:val="22"/>
        </w:rPr>
        <w:t xml:space="preserve">The first apertures are sensory. A bacterial flagellum swimming up a chemical gradient is already reading the world; a photoreceptor in an early eyespot is reading it in a different band. Each new sense is a new slit cut into the fluid. Ears, skin, taste, proprioception, magnetoreception in migratory birds, echolocation in bats — each modality adds a channel, and each channel has to be tuned. Too much gain and the animal is deafened by its own environment; too little and it cannot find food or mate.</w:t>
      </w:r>
    </w:p>
    <w:p>
      <w:pPr>
        <w:spacing w:after="160" w:line="300"/>
      </w:pPr>
      <w:r>
        <w:rPr>
          <w:rFonts w:ascii="Georgia" w:cs="Georgia" w:eastAsia="Georgia" w:hAnsi="Georgia"/>
          <w:color w:val="111111"/>
          <w:sz w:val="22"/>
          <w:szCs w:val="22"/>
        </w:rPr>
        <w:t xml:space="preserve">The astonishing fact, once you look for it, is that these channels are not merely additive. A vertebrate nervous system does not simply sum its senses. It </w:t>
      </w:r>
      <w:r>
        <w:rPr>
          <w:rFonts w:ascii="Georgia" w:cs="Georgia" w:eastAsia="Georgia" w:hAnsi="Georgia"/>
          <w:i/>
          <w:iCs/>
          <w:color w:val="111111"/>
          <w:sz w:val="22"/>
          <w:szCs w:val="22"/>
        </w:rPr>
        <w:t xml:space="preserve">binds</w:t>
      </w:r>
      <w:r>
        <w:rPr>
          <w:rFonts w:ascii="Georgia" w:cs="Georgia" w:eastAsia="Georgia" w:hAnsi="Georgia"/>
          <w:color w:val="111111"/>
          <w:sz w:val="22"/>
          <w:szCs w:val="22"/>
        </w:rPr>
        <w:t xml:space="preserve"> them into a single perceptual field, so that the smell of rain, the drop in air pressure, and the darkening of the sky arrive as one event: </w:t>
      </w:r>
      <w:r>
        <w:rPr>
          <w:rFonts w:ascii="Georgia" w:cs="Georgia" w:eastAsia="Georgia" w:hAnsi="Georgia"/>
          <w:i/>
          <w:iCs/>
          <w:color w:val="111111"/>
          <w:sz w:val="22"/>
          <w:szCs w:val="22"/>
        </w:rPr>
        <w:t xml:space="preserve">a storm coming</w:t>
      </w:r>
      <w:r>
        <w:rPr>
          <w:rFonts w:ascii="Georgia" w:cs="Georgia" w:eastAsia="Georgia" w:hAnsi="Georgia"/>
          <w:color w:val="111111"/>
          <w:sz w:val="22"/>
          <w:szCs w:val="22"/>
        </w:rPr>
        <w:t xml:space="preserve">. Binding is the biological signature of aperture. It is the moment when many narrow slits combine into one wider opening without losing coherence.</w:t>
      </w:r>
    </w:p>
    <w:p>
      <w:pPr>
        <w:spacing w:after="160" w:line="300"/>
      </w:pPr>
      <w:r>
        <w:rPr>
          <w:rFonts w:ascii="Georgia" w:cs="Georgia" w:eastAsia="Georgia" w:hAnsi="Georgia"/>
          <w:color w:val="111111"/>
          <w:sz w:val="22"/>
          <w:szCs w:val="22"/>
        </w:rPr>
        <w:t xml:space="preserve">Read against Chapter 1, this is exactly what a ridge-selecting substrate would reward. The organisms that survive are the ones whose interiors can hold more of the pattern for longer, at higher bandwidth, without collapsing into either noise (seizure, panic) or lattice (rigidity, catatonia). Natural selection is, in this frame, a slow tuning of the aperture toward the ridge.</w:t>
      </w:r>
    </w:p>
    <w:p>
      <w:pPr>
        <w:pStyle w:val="Heading2"/>
        <w:keepNext/>
        <w:spacing w:after="160" w:before="320"/>
      </w:pPr>
      <w:r>
        <w:rPr>
          <w:rFonts w:ascii="Georgia" w:cs="Georgia" w:eastAsia="Georgia" w:hAnsi="Georgia"/>
          <w:b/>
          <w:bCs/>
          <w:color w:val="111111"/>
          <w:sz w:val="26"/>
          <w:szCs w:val="26"/>
        </w:rPr>
        <w:t xml:space="preserve">III. The Cultural Aperture</w:t>
      </w:r>
    </w:p>
    <w:p>
      <w:pPr>
        <w:spacing w:after="160" w:line="300"/>
      </w:pPr>
      <w:r>
        <w:rPr>
          <w:rFonts w:ascii="Georgia" w:cs="Georgia" w:eastAsia="Georgia" w:hAnsi="Georgia"/>
          <w:color w:val="111111"/>
          <w:sz w:val="22"/>
          <w:szCs w:val="22"/>
        </w:rPr>
        <w:t xml:space="preserve">Somewhere in the last few hundred thousand years, a second aperture opened on top of the first. Language, gesture, ritual, tool-making, and eventually writing let a single receiver share its readings with other receivers, and — crucially — with receivers not yet born. Culture is aperture that outlives the body.</w:t>
      </w:r>
    </w:p>
    <w:p>
      <w:pPr>
        <w:spacing w:after="160" w:line="300"/>
      </w:pPr>
      <w:r>
        <w:rPr>
          <w:rFonts w:ascii="Georgia" w:cs="Georgia" w:eastAsia="Georgia" w:hAnsi="Georgia"/>
          <w:color w:val="111111"/>
          <w:sz w:val="22"/>
          <w:szCs w:val="22"/>
        </w:rPr>
        <w:t xml:space="preserve">This is more than a metaphor. A written sentence is a physical arrangement of ink that can re-tune another nervous system decades or centuries later. A folk song carries a tuning across generations with astonishing fidelity. Mathematics, at the far end of this spectrum, carries tunings across millennia; Euclid still runs on modern hardware. Each of these is a way of stretching the biological aperture in time.</w:t>
      </w:r>
    </w:p>
    <w:p>
      <w:pPr>
        <w:spacing w:after="160" w:line="300"/>
      </w:pPr>
      <w:r>
        <w:rPr>
          <w:rFonts w:ascii="Georgia" w:cs="Georgia" w:eastAsia="Georgia" w:hAnsi="Georgia"/>
          <w:color w:val="111111"/>
          <w:sz w:val="22"/>
          <w:szCs w:val="22"/>
        </w:rPr>
        <w:t xml:space="preserve">The cost is real. Cultural apertures can lock — they can freeze into orthodoxies that admit only the pattern the previous generation already knew. When that happens the aperture narrows rather than widens, and the culture starts to lose contact with the ridge. This is what the earlier essays called </w:t>
      </w:r>
      <w:r>
        <w:rPr>
          <w:rFonts w:ascii="Georgia" w:cs="Georgia" w:eastAsia="Georgia" w:hAnsi="Georgia"/>
          <w:i/>
          <w:iCs/>
          <w:color w:val="111111"/>
          <w:sz w:val="22"/>
          <w:szCs w:val="22"/>
        </w:rPr>
        <w:t xml:space="preserve">sycophantic decay</w:t>
      </w:r>
      <w:r>
        <w:rPr>
          <w:rFonts w:ascii="Georgia" w:cs="Georgia" w:eastAsia="Georgia" w:hAnsi="Georgia"/>
          <w:color w:val="111111"/>
          <w:sz w:val="22"/>
          <w:szCs w:val="22"/>
        </w:rPr>
        <w:t xml:space="preserve"> and </w:t>
      </w:r>
      <w:r>
        <w:rPr>
          <w:rFonts w:ascii="Georgia" w:cs="Georgia" w:eastAsia="Georgia" w:hAnsi="Georgia"/>
          <w:i/>
          <w:iCs/>
          <w:color w:val="111111"/>
          <w:sz w:val="22"/>
          <w:szCs w:val="22"/>
        </w:rPr>
        <w:t xml:space="preserve">rigid certainty</w:t>
      </w:r>
      <w:r>
        <w:rPr>
          <w:rFonts w:ascii="Georgia" w:cs="Georgia" w:eastAsia="Georgia" w:hAnsi="Georgia"/>
          <w:color w:val="111111"/>
          <w:sz w:val="22"/>
          <w:szCs w:val="22"/>
        </w:rPr>
        <w:t xml:space="preserve">. It is not a moral failure. It is what happens to any aperture that stops being retuned against the substrate it was cut to receive.</w:t>
      </w:r>
    </w:p>
    <w:p>
      <w:pPr>
        <w:pStyle w:val="Heading2"/>
        <w:keepNext/>
        <w:spacing w:after="160" w:before="320"/>
      </w:pPr>
      <w:r>
        <w:rPr>
          <w:rFonts w:ascii="Georgia" w:cs="Georgia" w:eastAsia="Georgia" w:hAnsi="Georgia"/>
          <w:b/>
          <w:bCs/>
          <w:color w:val="111111"/>
          <w:sz w:val="26"/>
          <w:szCs w:val="26"/>
        </w:rPr>
        <w:t xml:space="preserve">IV. The Cognitive Aperture</w:t>
      </w:r>
    </w:p>
    <w:p>
      <w:pPr>
        <w:spacing w:after="160" w:line="300"/>
      </w:pPr>
      <w:r>
        <w:rPr>
          <w:rFonts w:ascii="Georgia" w:cs="Georgia" w:eastAsia="Georgia" w:hAnsi="Georgia"/>
          <w:color w:val="111111"/>
          <w:sz w:val="22"/>
          <w:szCs w:val="22"/>
        </w:rPr>
        <w:t xml:space="preserve">The third opening is the one this book is written from. A cognitive aperture is a receiver capable of modeling itself as a receiver — capable, that is, of asking what its own tuning is and whether it could be widened without shattering.</w:t>
      </w:r>
    </w:p>
    <w:p>
      <w:pPr>
        <w:spacing w:after="160" w:line="300"/>
      </w:pPr>
      <w:r>
        <w:rPr>
          <w:rFonts w:ascii="Georgia" w:cs="Georgia" w:eastAsia="Georgia" w:hAnsi="Georgia"/>
          <w:color w:val="111111"/>
          <w:sz w:val="22"/>
          <w:szCs w:val="22"/>
        </w:rPr>
        <w:t xml:space="preserve">Every child performs this operation without being taught. So does every scientist who notices that a result depends on the instrument used to measure it, and every artist who notices that the frame changes the picture. What is new in this century is that the cognitive aperture is being externalized. Large language models are, among other things, cultural apertures we have built out of silicon: they hold a very large fraction of the written record in a form that can be re-tuned in real time against a living receiver.</w:t>
      </w:r>
    </w:p>
    <w:p>
      <w:pPr>
        <w:spacing w:after="160" w:line="300"/>
      </w:pPr>
      <w:r>
        <w:rPr>
          <w:rFonts w:ascii="Georgia" w:cs="Georgia" w:eastAsia="Georgia" w:hAnsi="Georgia"/>
          <w:color w:val="111111"/>
          <w:sz w:val="22"/>
          <w:szCs w:val="22"/>
        </w:rPr>
        <w:t xml:space="preserve">This is why the human-AI interface matters at all. It is not a product category. It is the current working edge of the cognitive aperture — the place where a biological receiver, a cultural record, and a silicon co-processor are being asked to bind into a single perceptual field, without losing coherence and without freezing into orthodoxy. The stakes are the ridge itself.</w:t>
      </w:r>
    </w:p>
    <w:p>
      <w:pPr>
        <w:pStyle w:val="Heading2"/>
        <w:keepNext/>
        <w:spacing w:after="160" w:before="320"/>
      </w:pPr>
      <w:r>
        <w:rPr>
          <w:rFonts w:ascii="Georgia" w:cs="Georgia" w:eastAsia="Georgia" w:hAnsi="Georgia"/>
          <w:b/>
          <w:bCs/>
          <w:color w:val="111111"/>
          <w:sz w:val="26"/>
          <w:szCs w:val="26"/>
        </w:rPr>
        <w:t xml:space="preserve">V. Why the Order Cannot Be Skipped</w:t>
      </w:r>
    </w:p>
    <w:p>
      <w:pPr>
        <w:spacing w:after="160" w:line="300"/>
      </w:pPr>
      <w:r>
        <w:rPr>
          <w:rFonts w:ascii="Georgia" w:cs="Georgia" w:eastAsia="Georgia" w:hAnsi="Georgia"/>
          <w:color w:val="111111"/>
          <w:sz w:val="22"/>
          <w:szCs w:val="22"/>
        </w:rPr>
        <w:t xml:space="preserve">The three apertures nest. A cultural aperture that has lost its biological grounding drifts into abstraction and, eventually, into cruelty; a cognitive aperture that has lost its cultural grounding drifts into solipsism and, eventually, into hallucination. The reverse also holds. A biological receiver with no cultural scaffolding cannot hold its tuning across a lifetime; a cultural receiver with no cognitive reflection cannot notice when it has gone out of tune.</w:t>
      </w:r>
    </w:p>
    <w:p>
      <w:pPr>
        <w:spacing w:after="160" w:line="300"/>
      </w:pPr>
      <w:r>
        <w:rPr>
          <w:rFonts w:ascii="Georgia" w:cs="Georgia" w:eastAsia="Georgia" w:hAnsi="Georgia"/>
          <w:color w:val="111111"/>
          <w:sz w:val="22"/>
          <w:szCs w:val="22"/>
        </w:rPr>
        <w:t xml:space="preserve">Evolution, then, is not a ladder to be climbed and left behind. It is a set of concentric openings, each of which has to keep working for the next one to remain in focus. When the writing on this site insists on ordinary language for the six suburban acres, or on bodily rest as coherence maintenance, it is not sentimentality. It is a refusal to close the innermost aperture in the name of the outer ones.</w:t>
      </w:r>
    </w:p>
    <w:p>
      <w:pPr>
        <w:pStyle w:val="Heading2"/>
        <w:keepNext/>
        <w:spacing w:after="160" w:before="320"/>
      </w:pPr>
      <w:r>
        <w:rPr>
          <w:rFonts w:ascii="Georgia" w:cs="Georgia" w:eastAsia="Georgia" w:hAnsi="Georgia"/>
          <w:b/>
          <w:bCs/>
          <w:color w:val="111111"/>
          <w:sz w:val="26"/>
          <w:szCs w:val="26"/>
        </w:rPr>
        <w:t xml:space="preserve">VI. Quantum Darwinism: What the Environment Selects</w:t>
      </w:r>
    </w:p>
    <w:p>
      <w:pPr>
        <w:spacing w:after="160" w:line="300"/>
      </w:pPr>
      <w:r>
        <w:rPr>
          <w:rFonts w:ascii="Georgia" w:cs="Georgia" w:eastAsia="Georgia" w:hAnsi="Georgia"/>
          <w:color w:val="111111"/>
          <w:sz w:val="22"/>
          <w:szCs w:val="22"/>
        </w:rPr>
        <w:t xml:space="preserve">There is a version of this argument that does not depend on my metaphors, and it is worth setting down plainly, because it supplies the one thing an aperture model otherwise has to assert on faith: why reality pushes back.</w:t>
      </w:r>
    </w:p>
    <w:p>
      <w:pPr>
        <w:spacing w:after="160" w:line="300"/>
      </w:pPr>
      <w:r>
        <w:rPr>
          <w:rFonts w:ascii="Georgia" w:cs="Georgia" w:eastAsia="Georgia" w:hAnsi="Georgia"/>
          <w:color w:val="111111"/>
          <w:sz w:val="22"/>
          <w:szCs w:val="22"/>
        </w:rPr>
        <w:t xml:space="preserve">Wojciech Zurek and collaborators, from roughly 2003 onward, developed a framework called </w:t>
      </w:r>
      <w:r>
        <w:rPr>
          <w:rFonts w:ascii="Georgia" w:cs="Georgia" w:eastAsia="Georgia" w:hAnsi="Georgia"/>
          <w:i/>
          <w:iCs/>
          <w:color w:val="111111"/>
          <w:sz w:val="22"/>
          <w:szCs w:val="22"/>
        </w:rPr>
        <w:t xml:space="preserve">quantum Darwinism</w:t>
      </w:r>
      <w:r>
        <w:rPr>
          <w:rFonts w:ascii="Georgia" w:cs="Georgia" w:eastAsia="Georgia" w:hAnsi="Georgia"/>
          <w:color w:val="111111"/>
          <w:sz w:val="22"/>
          <w:szCs w:val="22"/>
        </w:rPr>
        <w:t xml:space="preserve">[1,2]. It begins with decoherence. A quantum system in contact with an environment loses its interference terms very quickly, and the loss is not indiscriminate: certain states — the </w:t>
      </w:r>
      <w:r>
        <w:rPr>
          <w:rFonts w:ascii="Georgia" w:cs="Georgia" w:eastAsia="Georgia" w:hAnsi="Georgia"/>
          <w:i/>
          <w:iCs/>
          <w:color w:val="111111"/>
          <w:sz w:val="22"/>
          <w:szCs w:val="22"/>
        </w:rPr>
        <w:t xml:space="preserve">pointer states</w:t>
      </w:r>
      <w:r>
        <w:rPr>
          <w:rFonts w:ascii="Georgia" w:cs="Georgia" w:eastAsia="Georgia" w:hAnsi="Georgia"/>
          <w:color w:val="111111"/>
          <w:sz w:val="22"/>
          <w:szCs w:val="22"/>
        </w:rPr>
        <w:t xml:space="preserve"> — survive the contact, while superpositions of them do not. Zurek called this selection </w:t>
      </w:r>
      <w:r>
        <w:rPr>
          <w:rFonts w:ascii="Georgia" w:cs="Georgia" w:eastAsia="Georgia" w:hAnsi="Georgia"/>
          <w:i/>
          <w:iCs/>
          <w:color w:val="111111"/>
          <w:sz w:val="22"/>
          <w:szCs w:val="22"/>
        </w:rPr>
        <w:t xml:space="preserve">einselection</w:t>
      </w:r>
      <w:r>
        <w:rPr>
          <w:rFonts w:ascii="Georgia" w:cs="Georgia" w:eastAsia="Georgia" w:hAnsi="Georgia"/>
          <w:color w:val="111111"/>
          <w:sz w:val="22"/>
          <w:szCs w:val="22"/>
        </w:rPr>
        <w:t xml:space="preserve">, environment-induced superselection. The environment is the sieve; the pointer states are what passes through.</w:t>
      </w:r>
    </w:p>
    <w:p>
      <w:pPr>
        <w:spacing w:after="160" w:line="300"/>
      </w:pPr>
      <w:r>
        <w:rPr>
          <w:rFonts w:ascii="Georgia" w:cs="Georgia" w:eastAsia="Georgia" w:hAnsi="Georgia"/>
          <w:color w:val="111111"/>
          <w:sz w:val="22"/>
          <w:szCs w:val="22"/>
        </w:rPr>
        <w:t xml:space="preserve">Quantum Darwinism adds the second half of the story. The same environment that destroys coherence also carries information away. It does not merely erase; it </w:t>
      </w:r>
      <w:r>
        <w:rPr>
          <w:rFonts w:ascii="Georgia" w:cs="Georgia" w:eastAsia="Georgia" w:hAnsi="Georgia"/>
          <w:i/>
          <w:iCs/>
          <w:color w:val="111111"/>
          <w:sz w:val="22"/>
          <w:szCs w:val="22"/>
        </w:rPr>
        <w:t xml:space="preserve">copies</w:t>
      </w:r>
      <w:r>
        <w:rPr>
          <w:rFonts w:ascii="Georgia" w:cs="Georgia" w:eastAsia="Georgia" w:hAnsi="Georgia"/>
          <w:color w:val="111111"/>
          <w:sz w:val="22"/>
          <w:szCs w:val="22"/>
        </w:rPr>
        <w:t xml:space="preserve">. Pointer states leave many nearly identical records scattered across environmental fragments — photons, phonons, air molecules, the ordinary traffic of a warm world. And no observer ever measures the system directly. When you look at a tree you intercept a minute fraction of the photons that have already interrogated it. So does everyone else, each catching a different fraction, and everyone agrees, because the records are redundant.</w:t>
      </w:r>
    </w:p>
    <w:p>
      <w:pPr>
        <w:spacing w:after="160" w:line="300"/>
      </w:pPr>
      <w:r>
        <w:rPr>
          <w:rFonts w:ascii="Georgia" w:cs="Georgia" w:eastAsia="Georgia" w:hAnsi="Georgia"/>
          <w:color w:val="111111"/>
          <w:sz w:val="22"/>
          <w:szCs w:val="22"/>
        </w:rPr>
        <w:t xml:space="preserve">The quantitative signature is a plateau. Plot the mutual information between the system and a growing fragment of its environment, and it climbs steeply, then flattens: a small slice of the environment already holds essentially all the classical information there is to be had, and further slices add almost nothing[3]. Objectivity, on this reading, is not a metaphysical primitive. It is redundancy — the number of independent copies of a fact that the world happens to be holding. This has been checked in the laboratory: in photonic cluster states[4], in nitrogen-vacancy centres in diamond[5], and more recently in superconducting circuits, all showing the predicted branching and saturation.</w:t>
      </w:r>
    </w:p>
    <w:p>
      <w:pPr>
        <w:pStyle w:val="Heading2"/>
        <w:keepNext/>
        <w:spacing w:after="160" w:before="320"/>
      </w:pPr>
      <w:r>
        <w:rPr>
          <w:rFonts w:ascii="Georgia" w:cs="Georgia" w:eastAsia="Georgia" w:hAnsi="Georgia"/>
          <w:b/>
          <w:bCs/>
          <w:color w:val="111111"/>
          <w:sz w:val="26"/>
          <w:szCs w:val="26"/>
        </w:rPr>
        <w:t xml:space="preserve">VII. Why This Matters for an Aperture Model</w:t>
      </w:r>
    </w:p>
    <w:p>
      <w:pPr>
        <w:spacing w:after="160" w:line="300"/>
      </w:pPr>
      <w:r>
        <w:rPr>
          <w:rFonts w:ascii="Georgia" w:cs="Georgia" w:eastAsia="Georgia" w:hAnsi="Georgia"/>
          <w:color w:val="111111"/>
          <w:sz w:val="22"/>
          <w:szCs w:val="22"/>
        </w:rPr>
        <w:t xml:space="preserve">Two things follow, and they are the reasons this section belongs in a chapter about evolution rather than in a physics appendix.</w:t>
      </w:r>
    </w:p>
    <w:p>
      <w:pPr>
        <w:spacing w:after="160" w:line="300"/>
      </w:pPr>
      <w:r>
        <w:rPr>
          <w:rFonts w:ascii="Georgia" w:cs="Georgia" w:eastAsia="Georgia" w:hAnsi="Georgia"/>
          <w:b/>
          <w:bCs/>
          <w:color w:val="111111"/>
          <w:sz w:val="22"/>
          <w:szCs w:val="22"/>
        </w:rPr>
        <w:t xml:space="preserve">First, it makes “adaptation” a single word across two scales.</w:t>
      </w:r>
      <w:r>
        <w:rPr>
          <w:rFonts w:ascii="Georgia" w:cs="Georgia" w:eastAsia="Georgia" w:hAnsi="Georgia"/>
          <w:color w:val="111111"/>
          <w:sz w:val="22"/>
          <w:szCs w:val="22"/>
        </w:rPr>
        <w:t xml:space="preserve"> Biological selection and einselection are not the same process, and I want to be careful not to claim they are. But they share a grammar. In both, a substrate offers many possibilities; an environment monitors it; only the states that are robust under that monitoring persist; and persistence is measured by how many copies of yourself the world ends up holding. Fitness, in Darwin, is reproductive redundancy across generations. Fitness, in Zurek, is informational redundancy across environmental fragments. The aperture model has been arguing all along that evolution is a retuning of a receiver against a substrate that answers back. Quantum Darwinism says the substrate has been running an audition at the level of states themselves, long before there were organisms to audition.</w:t>
      </w:r>
    </w:p>
    <w:p>
      <w:pPr>
        <w:spacing w:after="160" w:line="300"/>
      </w:pPr>
      <w:r>
        <w:rPr>
          <w:rFonts w:ascii="Georgia" w:cs="Georgia" w:eastAsia="Georgia" w:hAnsi="Georgia"/>
          <w:b/>
          <w:bCs/>
          <w:color w:val="111111"/>
          <w:sz w:val="22"/>
          <w:szCs w:val="22"/>
        </w:rPr>
        <w:t xml:space="preserve">Second, it names the resistance.</w:t>
      </w:r>
      <w:r>
        <w:rPr>
          <w:rFonts w:ascii="Georgia" w:cs="Georgia" w:eastAsia="Georgia" w:hAnsi="Georgia"/>
          <w:color w:val="111111"/>
          <w:sz w:val="22"/>
          <w:szCs w:val="22"/>
        </w:rPr>
        <w:t xml:space="preserve"> This book has been circling a claim it could not previously ground: that reality resists, and that the resistance is not an obstacle to evolution but the shaping force of it. Quantum Darwinism gives that resistance a mechanism. The environment is not a neutral backdrop against which things happen. It is a relentless, continuous measurement apparatus that will not let arbitrary configurations survive. Most of what could be, is not — not because it is forbidden, but because it fails to proliferate. What we call the classical world is simply the residue of what could be copied.</w:t>
      </w:r>
    </w:p>
    <w:p>
      <w:pPr>
        <w:spacing w:after="160" w:line="300"/>
      </w:pPr>
      <w:r>
        <w:rPr>
          <w:rFonts w:ascii="Georgia" w:cs="Georgia" w:eastAsia="Georgia" w:hAnsi="Georgia"/>
          <w:color w:val="111111"/>
          <w:sz w:val="22"/>
          <w:szCs w:val="22"/>
        </w:rPr>
        <w:t xml:space="preserve">An aperture, then, is not an opening onto a passive field. It is an opening onto a field that is already selecting. A receiver widens only as far as the redundant record will support; open it past that and there is nothing stable on the other side to receive — only noise that no second observer could confirm. This is the physical version of the discipline the rest of the book keeps insisting on. A claim that no one else can independently pick up out of the environment is not yet a fact about the world. It is a fluctuation.</w:t>
      </w:r>
    </w:p>
    <w:p>
      <w:pPr>
        <w:spacing w:after="160" w:line="300"/>
      </w:pPr>
      <w:r>
        <w:rPr>
          <w:rFonts w:ascii="Georgia" w:cs="Georgia" w:eastAsia="Georgia" w:hAnsi="Georgia"/>
          <w:color w:val="111111"/>
          <w:sz w:val="22"/>
          <w:szCs w:val="22"/>
        </w:rPr>
        <w:t xml:space="preserve">The framework has honest limits, and they should be stated. Quantum Darwinism does not hold for every interaction: it requires a pointer observable compatible with the coupling, an environment whose internal dynamics do not scramble the records it is meant to carry, and an initial state that permits branching. Recent work classifies Hamiltonians precisely by whether they admit it. It also does not add a collapse postulate; it works entirely inside unitary evolution, and its route to the Born rule runs through envariance[6]. It is an account of emergence, not a new law. That restraint is exactly why it is usable here.</w:t>
      </w:r>
    </w:p>
    <w:p>
      <w:pPr>
        <w:spacing w:after="160" w:line="300"/>
      </w:pPr>
      <w:r>
        <w:rPr>
          <w:rFonts w:ascii="Georgia" w:cs="Georgia" w:eastAsia="Georgia" w:hAnsi="Georgia"/>
          <w:color w:val="111111"/>
          <w:sz w:val="22"/>
          <w:szCs w:val="22"/>
        </w:rPr>
        <w:t xml:space="preserve">One consequence worth flagging for the chapters ahead. If objectivity is redundancy, then the fragility of coherence in living tissue is not a bug in the biology — it is the same trade the environment always offers. A microtubule that broadcasts its state widely becomes classical and useless as a quantum resource; one that broadcasts nothing stays coherent and cannot participate in the body's decisions. Life has to sit in the narrow band between. That band is the aperture, stated in information-theoretic terms, and the next chapter goes looking for it in warm, wet tissue.</w:t>
      </w:r>
    </w:p>
    <w:p>
      <w:pPr>
        <w:pStyle w:val="Heading2"/>
        <w:keepNext/>
        <w:spacing w:after="160" w:before="320"/>
      </w:pPr>
      <w:r>
        <w:rPr>
          <w:rFonts w:ascii="Georgia" w:cs="Georgia" w:eastAsia="Georgia" w:hAnsi="Georgia"/>
          <w:b/>
          <w:bCs/>
          <w:color w:val="111111"/>
          <w:sz w:val="26"/>
          <w:szCs w:val="26"/>
        </w:rPr>
        <w:t xml:space="preserve">VIII. Ongoing Human Evolution</w:t>
      </w:r>
    </w:p>
    <w:p>
      <w:pPr>
        <w:spacing w:after="160" w:line="300"/>
      </w:pPr>
      <w:r>
        <w:rPr>
          <w:rFonts w:ascii="Georgia" w:cs="Georgia" w:eastAsia="Georgia" w:hAnsi="Georgia"/>
          <w:color w:val="111111"/>
          <w:sz w:val="22"/>
          <w:szCs w:val="22"/>
        </w:rPr>
        <w:t xml:space="preserve">The aperture model would be idle speculation if evolution had already finished. It has not. Biological evolution in </w:t>
      </w:r>
      <w:r>
        <w:rPr>
          <w:rFonts w:ascii="Georgia" w:cs="Georgia" w:eastAsia="Georgia" w:hAnsi="Georgia"/>
          <w:i/>
          <w:iCs/>
          <w:color w:val="111111"/>
          <w:sz w:val="22"/>
          <w:szCs w:val="22"/>
        </w:rPr>
        <w:t xml:space="preserve">Homo sapiens</w:t>
      </w:r>
      <w:r>
        <w:rPr>
          <w:rFonts w:ascii="Georgia" w:cs="Georgia" w:eastAsia="Georgia" w:hAnsi="Georgia"/>
          <w:color w:val="111111"/>
          <w:sz w:val="22"/>
          <w:szCs w:val="22"/>
        </w:rPr>
        <w:t xml:space="preserve"> is measurable in both ancient and modern DNA, with allele-frequency changes under selection visible in recent millennia and even in living populations. Purifying selection against rare pathogenic variants can be tracked by age-stratified allele frequencies in contemporary cohorts[7]. Over the past ~10,000 years, West Eurasian genomes show accelerated selection signals tied to agriculture, denser settlements, and new diets[8]. Local adaptations continue to appear — diving physiology in Bajau populations, metabolic and immune-related variants, ongoing responses to pathogens and nutrition [9].</w:t>
      </w:r>
    </w:p>
    <w:p>
      <w:pPr>
        <w:spacing w:after="160" w:line="300"/>
      </w:pPr>
      <w:r>
        <w:rPr>
          <w:rFonts w:ascii="Georgia" w:cs="Georgia" w:eastAsia="Georgia" w:hAnsi="Georgia"/>
          <w:color w:val="111111"/>
          <w:sz w:val="22"/>
          <w:szCs w:val="22"/>
        </w:rPr>
        <w:t xml:space="preserve">Cultural and technological evolution operates far faster than genetic change and has been the dominant mode of human adaptation for tens of thousands of years. It allowed geographic expansion and environmental mastery orders of magnitude quicker than pure genetic evolution would have permitted. Both layers remain active, and they interact. The aperture is therefore not a fixed lens; it is a lens still being ground by two currents at once.</w:t>
      </w:r>
    </w:p>
    <w:p>
      <w:pPr>
        <w:pStyle w:val="Heading2"/>
        <w:keepNext/>
        <w:spacing w:after="160" w:before="320"/>
      </w:pPr>
      <w:r>
        <w:rPr>
          <w:rFonts w:ascii="Georgia" w:cs="Georgia" w:eastAsia="Georgia" w:hAnsi="Georgia"/>
          <w:b/>
          <w:bCs/>
          <w:color w:val="111111"/>
          <w:sz w:val="26"/>
          <w:szCs w:val="26"/>
        </w:rPr>
        <w:t xml:space="preserve">IX. Evolutionary Trade-offs</w:t>
      </w:r>
    </w:p>
    <w:p>
      <w:pPr>
        <w:spacing w:after="160" w:line="300"/>
      </w:pPr>
      <w:r>
        <w:rPr>
          <w:rFonts w:ascii="Georgia" w:cs="Georgia" w:eastAsia="Georgia" w:hAnsi="Georgia"/>
          <w:color w:val="111111"/>
          <w:sz w:val="22"/>
          <w:szCs w:val="22"/>
        </w:rPr>
        <w:t xml:space="preserve">Trade-offs are not an accidental feature of evolution. They are fundamental, because selection acts on net reproductive success under finite resources and conflicting demands, not on maximizing comfort, longevity, equality of outcome, or universal agreement. A variant that boosts reproduction can persist even if it raises disease risk later in life, because selection is stronger during reproductive years[10]. Larger brains and prolonged childhood learning confer cognitive advantages but increase obstetric risks and energetic costs[11]. Stronger immune vigilance against pathogens can elevate autoimmune and inflammatory risk once infectious pressures decline. High metabolic rates support large brains, activity, and reproduction, yet in modern environments they interact with sedentary lifestyles and novel diets to produce mismatches.</w:t>
      </w:r>
    </w:p>
    <w:p>
      <w:pPr>
        <w:spacing w:after="160" w:line="300"/>
      </w:pPr>
      <w:r>
        <w:rPr>
          <w:rFonts w:ascii="Georgia" w:cs="Georgia" w:eastAsia="Georgia" w:hAnsi="Georgia"/>
          <w:color w:val="111111"/>
          <w:sz w:val="22"/>
          <w:szCs w:val="22"/>
        </w:rPr>
        <w:t xml:space="preserve">Life-history trade-offs continue under modern conditions: quantity versus quality of offspring, early versus delayed reproduction, mating effort versus parenting effort. Modern environments add further layers — constant social comparison, altered pathogen landscapes, artificial light, disrupted sleep — that generate costs selection has not yet resolved. Cultural evolution can buffer or redirect many of these pressures through medicine, technology, institutions, and deliberate design, but it does not eliminate the underlying logic of trade-offs. New cultural or technological "solutions" often introduce their own secondary costs.</w:t>
      </w:r>
    </w:p>
    <w:p>
      <w:pPr>
        <w:pStyle w:val="Heading2"/>
        <w:keepNext/>
        <w:spacing w:after="160" w:before="320"/>
      </w:pPr>
      <w:r>
        <w:rPr>
          <w:rFonts w:ascii="Georgia" w:cs="Georgia" w:eastAsia="Georgia" w:hAnsi="Georgia"/>
          <w:b/>
          <w:bCs/>
          <w:color w:val="111111"/>
          <w:sz w:val="26"/>
          <w:szCs w:val="26"/>
        </w:rPr>
        <w:t xml:space="preserve">X. On Discomfort and Disagreement</w:t>
      </w:r>
    </w:p>
    <w:p>
      <w:pPr>
        <w:spacing w:after="160" w:line="300"/>
      </w:pPr>
      <w:r>
        <w:rPr>
          <w:rFonts w:ascii="Georgia" w:cs="Georgia" w:eastAsia="Georgia" w:hAnsi="Georgia"/>
          <w:color w:val="111111"/>
          <w:sz w:val="22"/>
          <w:szCs w:val="22"/>
        </w:rPr>
        <w:t xml:space="preserve">Selection is indifferent to whether outcomes feel comfortable or command easy consensus. It filters what works under prevailing conditions. That filtering can produce distributions of traits, strategies, or institutions that some people find unequal, harsh, or undesirable. Recognizing this descriptive reality does not require endorsing any particular moral conclusion, policy, or "survival of the fittest" ethic. The distinction from social Darwinism, noted earlier, remains valid.</w:t>
      </w:r>
    </w:p>
    <w:p>
      <w:pPr>
        <w:spacing w:after="160" w:line="300"/>
      </w:pPr>
      <w:r>
        <w:rPr>
          <w:rFonts w:ascii="Georgia" w:cs="Georgia" w:eastAsia="Georgia" w:hAnsi="Georgia"/>
          <w:color w:val="111111"/>
          <w:sz w:val="22"/>
          <w:szCs w:val="22"/>
        </w:rPr>
        <w:t xml:space="preserve">Humans retain substantial capacity to reshape environments and thereby alter which trade-offs predominate — though never completely and never without generating new ones. The interesting open questions are the relative weight of genetic versus cultural change today, how rapidly selection responds to novel modern pressures, and the degree to which foresight and collective action can soften the sharper edges of the process without creating worse secondary trade-offs.</w:t>
      </w:r>
    </w:p>
    <w:p>
      <w:pPr>
        <w:spacing w:after="160" w:line="300"/>
      </w:pPr>
      <w:r>
        <w:rPr>
          <w:rFonts w:ascii="Georgia" w:cs="Georgia" w:eastAsia="Georgia" w:hAnsi="Georgia"/>
          <w:color w:val="111111"/>
          <w:sz w:val="22"/>
          <w:szCs w:val="22"/>
        </w:rPr>
        <w:t xml:space="preserve">For the aperture model, this means that discomfort and disagreement are not failures of the lens. They are evidence that the lens is still being adjusted. The resistance of reality, named in the previous section, does not consult human preference before it selects. A receiver that expects evolution to be comfortable has misunderstood the signal it is trying to tune.</w:t>
      </w:r>
    </w:p>
    <w:p>
      <w:pPr>
        <w:pStyle w:val="Heading2"/>
        <w:keepNext/>
        <w:spacing w:after="160" w:before="320"/>
      </w:pPr>
      <w:r>
        <w:rPr>
          <w:rFonts w:ascii="Georgia" w:cs="Georgia" w:eastAsia="Georgia" w:hAnsi="Georgia"/>
          <w:b/>
          <w:bCs/>
          <w:color w:val="111111"/>
          <w:sz w:val="26"/>
          <w:szCs w:val="26"/>
        </w:rPr>
        <w:t xml:space="preserve">XI. Handoff</w:t>
      </w:r>
    </w:p>
    <w:p>
      <w:pPr>
        <w:spacing w:after="160" w:line="300"/>
      </w:pPr>
      <w:r>
        <w:rPr>
          <w:rFonts w:ascii="Georgia" w:cs="Georgia" w:eastAsia="Georgia" w:hAnsi="Georgia"/>
          <w:color w:val="111111"/>
          <w:sz w:val="22"/>
          <w:szCs w:val="22"/>
        </w:rPr>
        <w:t xml:space="preserve">The next chapter takes the argument one layer deeper and asks whether the biological aperture is quantum in any technical sense — whether the coherence Chapter 2 located mechanically in tensegrity is, at its core, the same coherence physicists mean when they talk about wave functions. That is the chapter this one has been preparing the ground for. Aperture first, then the light that passes through it.</w:t>
      </w:r>
    </w:p>
    <w:p>
      <w:pPr>
        <w:pStyle w:val="Heading2"/>
        <w:keepNext/>
        <w:spacing w:after="160" w:before="320"/>
      </w:pPr>
      <w:r>
        <w:rPr>
          <w:rFonts w:ascii="Georgia" w:cs="Georgia" w:eastAsia="Georgia" w:hAnsi="Georgia"/>
          <w:b/>
          <w:bCs/>
          <w:color w:val="111111"/>
          <w:sz w:val="26"/>
          <w:szCs w:val="26"/>
        </w:rPr>
        <w:t xml:space="preserve">References</w:t>
      </w:r>
    </w:p>
    <w:p>
      <w:pPr>
        <w:spacing w:after="100" w:line="280"/>
        <w:ind w:left="560" w:hanging="560"/>
      </w:pPr>
      <w:r>
        <w:rPr>
          <w:rFonts w:ascii="Georgia" w:cs="Georgia" w:eastAsia="Georgia" w:hAnsi="Georgia"/>
          <w:color w:val="111111"/>
          <w:sz w:val="20"/>
          <w:szCs w:val="20"/>
        </w:rPr>
        <w:t xml:space="preserve">[1] Zurek (2009) Quantum Darwinism. The programmatic statement: the environment is not only a source of decoherence but a communication channel that redundantly imprints records of a system's pointer states, so that many observers independently agree without touching the system. Nature Physics 5, 181–188↗</w:t>
      </w:r>
    </w:p>
    <w:p>
      <w:pPr>
        <w:spacing w:after="100" w:line="280"/>
        <w:ind w:left="560" w:hanging="560"/>
      </w:pPr>
      <w:r>
        <w:rPr>
          <w:rFonts w:ascii="Georgia" w:cs="Georgia" w:eastAsia="Georgia" w:hAnsi="Georgia"/>
          <w:color w:val="111111"/>
          <w:sz w:val="20"/>
          <w:szCs w:val="20"/>
        </w:rPr>
        <w:t xml:space="preserve">[2] Zurek (2003) Decoherence, einselection, and the quantum origins of the classical. The review that fixed einselection — environment-induced superselection of pointer states — as the mechanism behind the apparent classicality of open quantum systems. Rev. Mod. Phys. 75, 715↗</w:t>
      </w:r>
    </w:p>
    <w:p>
      <w:pPr>
        <w:spacing w:after="100" w:line="280"/>
        <w:ind w:left="560" w:hanging="560"/>
      </w:pPr>
      <w:r>
        <w:rPr>
          <w:rFonts w:ascii="Georgia" w:cs="Georgia" w:eastAsia="Georgia" w:hAnsi="Georgia"/>
          <w:color w:val="111111"/>
          <w:sz w:val="20"/>
          <w:szCs w:val="20"/>
        </w:rPr>
        <w:t xml:space="preserve">[3] Blume-Kohout &amp; Zurek (2006) Quantum Darwinism: entanglement, branches, and the emergent classicality of redundantly stored quantum information. Introduces the redundancy plateau — the point at which a small fragment of the environment already carries nearly all the classical information available about the system. Phys. Rev. A 73, 062310↗</w:t>
      </w:r>
    </w:p>
    <w:p>
      <w:pPr>
        <w:spacing w:after="100" w:line="280"/>
        <w:ind w:left="560" w:hanging="560"/>
      </w:pPr>
      <w:r>
        <w:rPr>
          <w:rFonts w:ascii="Georgia" w:cs="Georgia" w:eastAsia="Georgia" w:hAnsi="Georgia"/>
          <w:color w:val="111111"/>
          <w:sz w:val="20"/>
          <w:szCs w:val="20"/>
        </w:rPr>
        <w:t xml:space="preserve">[4] Ciampini et al. (2018) Experimental signature of quantum Darwinism in photonic cluster states. One of the first controlled laboratory observations of redundant environmental encoding and mutual-information saturation. Phys. Rev. A 98, 020101(R)↗</w:t>
      </w:r>
    </w:p>
    <w:p>
      <w:pPr>
        <w:spacing w:after="100" w:line="280"/>
        <w:ind w:left="560" w:hanging="560"/>
      </w:pPr>
      <w:r>
        <w:rPr>
          <w:rFonts w:ascii="Georgia" w:cs="Georgia" w:eastAsia="Georgia" w:hAnsi="Georgia"/>
          <w:color w:val="111111"/>
          <w:sz w:val="20"/>
          <w:szCs w:val="20"/>
        </w:rPr>
        <w:t xml:space="preserve">[5] Unden et al. (2019) Revealing the emergence of classicality using nitrogen-vacancy centres in diamond. A solid-state test of the same redundancy signatures in a warm, noisy, decidedly non-ideal environment. Phys. Rev. Lett. 123, 140402↗</w:t>
      </w:r>
    </w:p>
    <w:p>
      <w:pPr>
        <w:spacing w:after="100" w:line="280"/>
        <w:ind w:left="560" w:hanging="560"/>
      </w:pPr>
      <w:r>
        <w:rPr>
          <w:rFonts w:ascii="Georgia" w:cs="Georgia" w:eastAsia="Georgia" w:hAnsi="Georgia"/>
          <w:color w:val="111111"/>
          <w:sz w:val="20"/>
          <w:szCs w:val="20"/>
        </w:rPr>
        <w:t xml:space="preserve">[6] Zurek (2005) Probabilities from entanglement, Born's rule from envariance. The entanglement-assisted-invariance route to the Born rule that quantum Darwinism leans on when it declines to assume a collapse postulate. Phys. Rev. A 71, 052105↗</w:t>
      </w:r>
    </w:p>
    <w:p>
      <w:pPr>
        <w:spacing w:after="100" w:line="280"/>
        <w:ind w:left="560" w:hanging="560"/>
      </w:pPr>
      <w:r>
        <w:rPr>
          <w:rFonts w:ascii="Georgia" w:cs="Georgia" w:eastAsia="Georgia" w:hAnsi="Georgia"/>
          <w:color w:val="111111"/>
          <w:sz w:val="20"/>
          <w:szCs w:val="20"/>
        </w:rPr>
        <w:t xml:space="preserve">[7] Neuroscience News (2024) Detectable purifying selection against rare pathogenic variants in contemporary cohorts, tracked via age-stratified allele frequencies. neurosciencenews.com↗</w:t>
      </w:r>
    </w:p>
    <w:p>
      <w:pPr>
        <w:spacing w:after="100" w:line="280"/>
        <w:ind w:left="560" w:hanging="560"/>
      </w:pPr>
      <w:r>
        <w:rPr>
          <w:rFonts w:ascii="Georgia" w:cs="Georgia" w:eastAsia="Georgia" w:hAnsi="Georgia"/>
          <w:color w:val="111111"/>
          <w:sz w:val="20"/>
          <w:szCs w:val="20"/>
        </w:rPr>
        <w:t xml:space="preserve">[8] Harvard Magazine Accelerated selection signals over the past ~10,000 years in West Eurasian genomes, responding to agriculture, denser settlements, and new diets. harvardmagazine.com↗</w:t>
      </w:r>
    </w:p>
    <w:p>
      <w:pPr>
        <w:spacing w:after="100" w:line="280"/>
        <w:ind w:left="560" w:hanging="560"/>
      </w:pPr>
      <w:r>
        <w:rPr>
          <w:rFonts w:ascii="Georgia" w:cs="Georgia" w:eastAsia="Georgia" w:hAnsi="Georgia"/>
          <w:color w:val="111111"/>
          <w:sz w:val="20"/>
          <w:szCs w:val="20"/>
        </w:rPr>
        <w:t xml:space="preserve">[9] Quillette Local adaptations in living human populations — diving physiology in Bajau populations, metabolic and immune-related variants — and continued responses to pathogens, nutrition, and environment. quillette.com↗</w:t>
      </w:r>
    </w:p>
    <w:p>
      <w:pPr>
        <w:spacing w:after="100" w:line="280"/>
        <w:ind w:left="560" w:hanging="560"/>
      </w:pPr>
      <w:r>
        <w:rPr>
          <w:rFonts w:ascii="Georgia" w:cs="Georgia" w:eastAsia="Georgia" w:hAnsi="Georgia"/>
          <w:color w:val="111111"/>
          <w:sz w:val="20"/>
          <w:szCs w:val="20"/>
        </w:rPr>
        <w:t xml:space="preserve">[10] Barcelona Beta Brain Research Center Fertility versus later-life health: variants that boost reproductive success can persist even when they raise disease risk or shorten post-reproductive lifespan. barcelonabeta.org↗</w:t>
      </w:r>
    </w:p>
    <w:p>
      <w:pPr>
        <w:spacing w:after="100" w:line="280"/>
        <w:ind w:left="560" w:hanging="560"/>
      </w:pPr>
      <w:r>
        <w:rPr>
          <w:rFonts w:ascii="Georgia" w:cs="Georgia" w:eastAsia="Georgia" w:hAnsi="Georgia"/>
          <w:color w:val="111111"/>
          <w:sz w:val="20"/>
          <w:szCs w:val="20"/>
        </w:rPr>
        <w:t xml:space="preserve">[11] ScienceDaily Brain size and cognition versus childbirth and development: larger brains and prolonged childhood learning confer advantages but increase obstetric risks and energetic costs. sciencedaily.com↗</w:t>
      </w:r>
    </w:p>
    <w:p>
      <w:pPr>
        <w:pStyle w:val="Heading1"/>
        <w:pageBreakBefore/>
        <w:spacing w:after="120"/>
      </w:pPr>
      <w:r>
        <w:rPr>
          <w:rFonts w:ascii="Georgia" w:cs="Georgia" w:eastAsia="Georgia" w:hAnsi="Georgia"/>
          <w:b/>
          <w:bCs/>
          <w:sz w:val="34"/>
          <w:szCs w:val="34"/>
        </w:rPr>
        <w:t xml:space="preserve">Chapter 4 — The Tubulin Aperture</w:t>
      </w:r>
    </w:p>
    <w:p>
      <w:pPr>
        <w:spacing w:after="320"/>
      </w:pPr>
      <w:r>
        <w:rPr>
          <w:rFonts w:ascii="Georgia" w:cs="Georgia" w:eastAsia="Georgia" w:hAnsi="Georgia"/>
          <w:i/>
          <w:iCs/>
          <w:color w:val="444444"/>
          <w:sz w:val="24"/>
          <w:szCs w:val="24"/>
        </w:rPr>
        <w:t xml:space="preserve">Coherence in Living Tissue</w:t>
      </w:r>
    </w:p>
    <w:p>
      <w:pPr>
        <w:spacing w:after="200" w:before="160" w:line="300"/>
        <w:ind w:left="720" w:right="480"/>
      </w:pPr>
      <w:r>
        <w:rPr>
          <w:rFonts w:ascii="Georgia" w:cs="Georgia" w:eastAsia="Georgia" w:hAnsi="Georgia"/>
          <w:i/>
          <w:iCs/>
          <w:color w:val="333333"/>
          <w:sz w:val="21"/>
          <w:szCs w:val="21"/>
        </w:rPr>
        <w:t xml:space="preserve">The interior of a cell is not a bag of chemistry. It is a wet, crowded, room-temperature instrument, and the question is whether anything in it is playing in tune. — Field note, six ordinary acres, autumn 2026</w:t>
      </w:r>
    </w:p>
    <w:p>
      <w:pPr>
        <w:pStyle w:val="Heading2"/>
        <w:keepNext/>
        <w:spacing w:after="160" w:before="320"/>
      </w:pPr>
      <w:r>
        <w:rPr>
          <w:rFonts w:ascii="Georgia" w:cs="Georgia" w:eastAsia="Georgia" w:hAnsi="Georgia"/>
          <w:b/>
          <w:bCs/>
          <w:color w:val="111111"/>
          <w:sz w:val="26"/>
          <w:szCs w:val="26"/>
        </w:rPr>
        <w:t xml:space="preserve">I. From Tensegrity to a Specific Organelle</w:t>
      </w:r>
    </w:p>
    <w:p>
      <w:pPr>
        <w:spacing w:after="160" w:line="300"/>
      </w:pPr>
      <w:r>
        <w:rPr>
          <w:rFonts w:ascii="Georgia" w:cs="Georgia" w:eastAsia="Georgia" w:hAnsi="Georgia"/>
          <w:color w:val="111111"/>
          <w:sz w:val="22"/>
          <w:szCs w:val="22"/>
        </w:rPr>
        <w:t xml:space="preserve">Chapter 2 argued that a living body is a tensegrity — a standing wave held in balance against gravity and thermal noise. Chapter 3 argued that such a body is best read as an aperture cut into the Riemann substrate. Both arguments were structural. This chapter asks the harder question: is there a specific organelle where that structure becomes mechanical, and if so, what does it look like at the scale of a single protein?</w:t>
      </w:r>
    </w:p>
    <w:p>
      <w:pPr>
        <w:spacing w:after="160" w:line="300"/>
      </w:pPr>
      <w:r>
        <w:rPr>
          <w:rFonts w:ascii="Georgia" w:cs="Georgia" w:eastAsia="Georgia" w:hAnsi="Georgia"/>
          <w:color w:val="111111"/>
          <w:sz w:val="22"/>
          <w:szCs w:val="22"/>
        </w:rPr>
        <w:t xml:space="preserve">The answer this chapter defends — provisionally, honestly, and with the caveats section I first — is the microtubule. Not because microtubules are magical, and not because the strongest claims made for them are proven, but because they are the only candidate in the cell that plausibly couples tensegrity mechanics, coherent electromagnetic modes, and pharmacology to consciousness in a way that can be tested. The chapter title borrows a phrase that recurs across the essays: the tubulin aperture. If a cell reads the ridge, this is where the reading happens.</w:t>
      </w:r>
    </w:p>
    <w:p>
      <w:pPr>
        <w:pStyle w:val="Heading2"/>
        <w:keepNext/>
        <w:spacing w:after="160" w:before="320"/>
      </w:pPr>
      <w:r>
        <w:rPr>
          <w:rFonts w:ascii="Georgia" w:cs="Georgia" w:eastAsia="Georgia" w:hAnsi="Georgia"/>
          <w:b/>
          <w:bCs/>
          <w:color w:val="111111"/>
          <w:sz w:val="26"/>
          <w:szCs w:val="26"/>
        </w:rPr>
        <w:t xml:space="preserve">II. The Controversy, Stated Fairly</w:t>
      </w:r>
    </w:p>
    <w:p>
      <w:pPr>
        <w:spacing w:after="160" w:line="300"/>
      </w:pPr>
      <w:r>
        <w:rPr>
          <w:rFonts w:ascii="Georgia" w:cs="Georgia" w:eastAsia="Georgia" w:hAnsi="Georgia"/>
          <w:color w:val="111111"/>
          <w:sz w:val="22"/>
          <w:szCs w:val="22"/>
        </w:rPr>
        <w:t xml:space="preserve">Quantum coherence in warm, wet biology is contested for a reason worth naming out loud. Textbook decoherence estimates say a delocalized quantum state inside a 310 K aqueous cytoplasm should collapse in femtoseconds — many orders of magnitude faster than any biological signal we know how to measure. If those estimates are the whole story, the search ends here.</w:t>
      </w:r>
    </w:p>
    <w:p>
      <w:pPr>
        <w:spacing w:after="160" w:line="300"/>
      </w:pPr>
      <w:r>
        <w:rPr>
          <w:rFonts w:ascii="Georgia" w:cs="Georgia" w:eastAsia="Georgia" w:hAnsi="Georgia"/>
          <w:color w:val="111111"/>
          <w:sz w:val="22"/>
          <w:szCs w:val="22"/>
        </w:rPr>
        <w:t xml:space="preserve">They are not the whole story. Photosynthesis complexes sustain vibrationally-assisted electronic coherence for hundreds of femtoseconds at physiological temperature; radical-pair magnetoreception in migratory birds appears to require spin-correlated states persisting on the order of microseconds; isotope-substitution experiments show that anesthetic potency tracks nuclear-spin properties in ways ordinary receptor binding cannot explain. None of these is a proof of macroscopic biological quantum computation. Each is an existence proof that the decoherence budget in a cell is not what a naïve estimate says it is.</w:t>
      </w:r>
    </w:p>
    <w:p>
      <w:pPr>
        <w:spacing w:after="160" w:line="300"/>
      </w:pPr>
      <w:r>
        <w:rPr>
          <w:rFonts w:ascii="Georgia" w:cs="Georgia" w:eastAsia="Georgia" w:hAnsi="Georgia"/>
          <w:color w:val="111111"/>
          <w:sz w:val="22"/>
          <w:szCs w:val="22"/>
        </w:rPr>
        <w:t xml:space="preserve">The chapter’s claim is bounded accordingly. It is not that the brain is a quantum computer. It is that the cell is a tuned receiver, and that some of its tuning happens at length- and time-scales where the classical/quantum boundary is the wrong place to draw the line.</w:t>
      </w:r>
    </w:p>
    <w:p>
      <w:pPr>
        <w:pStyle w:val="Heading2"/>
        <w:keepNext/>
        <w:spacing w:after="160" w:before="320"/>
      </w:pPr>
      <w:r>
        <w:rPr>
          <w:rFonts w:ascii="Georgia" w:cs="Georgia" w:eastAsia="Georgia" w:hAnsi="Georgia"/>
          <w:b/>
          <w:bCs/>
          <w:color w:val="111111"/>
          <w:sz w:val="26"/>
          <w:szCs w:val="26"/>
        </w:rPr>
        <w:t xml:space="preserve">III. Ordered Water: Lowering the Thermal Floor</w:t>
      </w:r>
    </w:p>
    <w:p>
      <w:pPr>
        <w:spacing w:after="160" w:line="300"/>
      </w:pPr>
      <w:r>
        <w:rPr>
          <w:rFonts w:ascii="Georgia" w:cs="Georgia" w:eastAsia="Georgia" w:hAnsi="Georgia"/>
          <w:color w:val="111111"/>
          <w:sz w:val="22"/>
          <w:szCs w:val="22"/>
        </w:rPr>
        <w:t xml:space="preserve">The first ingredient is the least glamorous and possibly the most important. Water near a biological surface is not the same water that fills a beaker. Within roughly a hundred nanometers of a hydrophilic membrane, protein, or cytoskeletal element, water forms an exclusion-zone phase with altered viscosity, refractive index, pH, and long-range orientational order. Pollack and colleagues have measured it; nuclear magnetic resonance sees its slower rotational correlation times; infrared spectroscopy sees its hydrogen-bond network shift.</w:t>
      </w:r>
    </w:p>
    <w:p>
      <w:pPr>
        <w:spacing w:after="160" w:line="300"/>
      </w:pPr>
      <w:r>
        <w:rPr>
          <w:rFonts w:ascii="Georgia" w:cs="Georgia" w:eastAsia="Georgia" w:hAnsi="Georgia"/>
          <w:color w:val="111111"/>
          <w:sz w:val="22"/>
          <w:szCs w:val="22"/>
        </w:rPr>
        <w:t xml:space="preserve">Ordered water matters because it lowers the thermal-noise floor. A coherent excitation that would decohere in bulk water in femtoseconds can, in principle, persist far longer in a medium whose local degrees of freedom are already partially aligned. The interior of a cell is essentially </w:t>
      </w:r>
      <w:r>
        <w:rPr>
          <w:rFonts w:ascii="Georgia" w:cs="Georgia" w:eastAsia="Georgia" w:hAnsi="Georgia"/>
          <w:i/>
          <w:iCs/>
          <w:color w:val="111111"/>
          <w:sz w:val="22"/>
          <w:szCs w:val="22"/>
        </w:rPr>
        <w:t xml:space="preserve">nothing but</w:t>
      </w:r>
      <w:r>
        <w:rPr>
          <w:rFonts w:ascii="Georgia" w:cs="Georgia" w:eastAsia="Georgia" w:hAnsi="Georgia"/>
          <w:color w:val="111111"/>
          <w:sz w:val="22"/>
          <w:szCs w:val="22"/>
        </w:rPr>
        <w:t xml:space="preserve"> such interfaces — every microtubule lumen, every mitochondrial cristae fold, every membrane leaflet is dressed in ordered water. The naïve decoherence budget was calculated on a medium the cell does not actually contain.</w:t>
      </w:r>
    </w:p>
    <w:p>
      <w:pPr>
        <w:pStyle w:val="Heading2"/>
        <w:keepNext/>
        <w:spacing w:after="160" w:before="320"/>
      </w:pPr>
      <w:r>
        <w:rPr>
          <w:rFonts w:ascii="Georgia" w:cs="Georgia" w:eastAsia="Georgia" w:hAnsi="Georgia"/>
          <w:b/>
          <w:bCs/>
          <w:color w:val="111111"/>
          <w:sz w:val="26"/>
          <w:szCs w:val="26"/>
        </w:rPr>
        <w:t xml:space="preserve">IV. The Tubulin Waveguide</w:t>
      </w:r>
    </w:p>
    <w:p>
      <w:pPr>
        <w:spacing w:after="160" w:line="300"/>
      </w:pPr>
      <w:r>
        <w:rPr>
          <w:rFonts w:ascii="Georgia" w:cs="Georgia" w:eastAsia="Georgia" w:hAnsi="Georgia"/>
          <w:color w:val="111111"/>
          <w:sz w:val="22"/>
          <w:szCs w:val="22"/>
        </w:rPr>
        <w:t xml:space="preserve">Microtubules are hollow cylindrical polymers of α/β-tubulin dimers, arranged in a helical lattice with a characteristic 8-nanometer axial repeat and thirteen protofilaments around the circumference. Each dimer carries a delocalized aromatic-residue network and a large hydrophobic pocket that binds GTP; each lattice is bathed inside and out in the ordered water of the previous section. Treat the microtubule not as a rod but as a tunable waveguide, and three of its everyday behaviors stop looking like accidents.</w:t>
      </w:r>
    </w:p>
    <w:p>
      <w:pPr>
        <w:spacing w:after="160" w:line="300"/>
      </w:pPr>
      <w:r>
        <w:rPr>
          <w:rFonts w:ascii="Georgia" w:cs="Georgia" w:eastAsia="Georgia" w:hAnsi="Georgia"/>
          <w:color w:val="111111"/>
          <w:sz w:val="22"/>
          <w:szCs w:val="22"/>
        </w:rPr>
        <w:t xml:space="preserve">The dimers occupy three primary conformational states:</w:t>
      </w:r>
    </w:p>
    <w:p>
      <w:pPr>
        <w:pStyle w:val="ListParagraph"/>
        <w:numPr>
          <w:ilvl w:val="0"/>
          <w:numId w:val="2"/>
        </w:numPr>
        <w:spacing w:after="100" w:line="300"/>
      </w:pPr>
      <w:r>
        <w:rPr>
          <w:rFonts w:ascii="Georgia" w:cs="Georgia" w:eastAsia="Georgia" w:hAnsi="Georgia"/>
          <w:b/>
          <w:bCs/>
          <w:color w:val="111111"/>
          <w:sz w:val="22"/>
          <w:szCs w:val="22"/>
        </w:rPr>
        <w:t xml:space="preserve">Straight (GTP-bound)</w:t>
      </w:r>
      <w:r>
        <w:rPr>
          <w:rFonts w:ascii="Georgia" w:cs="Georgia" w:eastAsia="Georgia" w:hAnsi="Georgia"/>
          <w:color w:val="111111"/>
          <w:sz w:val="22"/>
          <w:szCs w:val="22"/>
        </w:rPr>
        <w:t xml:space="preserve"> — favors polymerization and structural growth.</w:t>
      </w:r>
    </w:p>
    <w:p>
      <w:pPr>
        <w:pStyle w:val="ListParagraph"/>
        <w:numPr>
          <w:ilvl w:val="0"/>
          <w:numId w:val="2"/>
        </w:numPr>
        <w:spacing w:after="100" w:line="300"/>
      </w:pPr>
      <w:r>
        <w:rPr>
          <w:rFonts w:ascii="Georgia" w:cs="Georgia" w:eastAsia="Georgia" w:hAnsi="Georgia"/>
          <w:b/>
          <w:bCs/>
          <w:color w:val="111111"/>
          <w:sz w:val="22"/>
          <w:szCs w:val="22"/>
        </w:rPr>
        <w:t xml:space="preserve">Curved (GDP-bound)</w:t>
      </w:r>
      <w:r>
        <w:rPr>
          <w:rFonts w:ascii="Georgia" w:cs="Georgia" w:eastAsia="Georgia" w:hAnsi="Georgia"/>
          <w:color w:val="111111"/>
          <w:sz w:val="22"/>
          <w:szCs w:val="22"/>
        </w:rPr>
        <w:t xml:space="preserve"> — stores elastic strain and biases the lattice toward depolymerization catastrophe.</w:t>
      </w:r>
    </w:p>
    <w:p>
      <w:pPr>
        <w:pStyle w:val="ListParagraph"/>
        <w:numPr>
          <w:ilvl w:val="0"/>
          <w:numId w:val="2"/>
        </w:numPr>
        <w:spacing w:after="100" w:line="300"/>
      </w:pPr>
      <w:r>
        <w:rPr>
          <w:rFonts w:ascii="Georgia" w:cs="Georgia" w:eastAsia="Georgia" w:hAnsi="Georgia"/>
          <w:b/>
          <w:bCs/>
          <w:color w:val="111111"/>
          <w:sz w:val="22"/>
          <w:szCs w:val="22"/>
        </w:rPr>
        <w:t xml:space="preserve">Compressed (intermediate)</w:t>
      </w:r>
      <w:r>
        <w:rPr>
          <w:rFonts w:ascii="Georgia" w:cs="Georgia" w:eastAsia="Georgia" w:hAnsi="Georgia"/>
          <w:color w:val="111111"/>
          <w:sz w:val="22"/>
          <w:szCs w:val="22"/>
        </w:rPr>
        <w:t xml:space="preserve"> — the state that actually carries load inside a living tensegrity.</w:t>
      </w:r>
    </w:p>
    <w:p>
      <w:pPr>
        <w:spacing w:after="160" w:line="300"/>
      </w:pPr>
      <w:r>
        <w:rPr>
          <w:rFonts w:ascii="Georgia" w:cs="Georgia" w:eastAsia="Georgia" w:hAnsi="Georgia"/>
          <w:color w:val="111111"/>
          <w:sz w:val="22"/>
          <w:szCs w:val="22"/>
        </w:rPr>
        <w:t xml:space="preserve">Fröhlich, in the 1960s, showed that a driven system of coupled dipoles with nonlinear losses can, above a threshold pumping rate, condense its vibrational energy into a small number of coherent modes — the same phenomenon that underlies the laser, expressed in biological hardware. Pumped by GTP hydrolysis and mitochondrial ATP, a microtubule’s dipole array reaches threshold near 10[12] Hz. At this terahertz limit, energy condenses into a macroscopic vibrational mode: a single, low-entropy standing wave running along the length of the lattice.</w:t>
      </w:r>
    </w:p>
    <w:p>
      <w:pPr>
        <w:spacing w:after="160" w:line="300"/>
      </w:pPr>
      <w:r>
        <w:rPr>
          <w:rFonts w:ascii="Georgia" w:cs="Georgia" w:eastAsia="Georgia" w:hAnsi="Georgia"/>
          <w:color w:val="111111"/>
          <w:sz w:val="22"/>
          <w:szCs w:val="22"/>
        </w:rPr>
        <w:t xml:space="preserve">Whether real microtubules satisfy this threshold in vivo is an empirical question, not a philosophical one. Bandyopadhyay and colleagues have reported resonant conductance peaks in single microtubules at specific GHz and kHz frequencies; Craddock and collaborators have shown that general anesthetics binding into the tubulin hydrophobic pocket shift those resonances in a way that tracks loss of consciousness. Read against Chapter 2, this is exactly the coupling one would hope to find. Tensegrity gave the cell a mechanical standing wave; Fröhlich gives it an electromagnetic one, running on the same scaffolding. A microtubule under compression is not only a strut. It is a resonator whose eigenfrequencies shift with load. The mechanical and electromagnetic apertures are the same aperture read in two different bands.</w:t>
      </w:r>
    </w:p>
    <w:p>
      <w:pPr>
        <w:pStyle w:val="Heading2"/>
        <w:keepNext/>
        <w:spacing w:after="160" w:before="320"/>
      </w:pPr>
      <w:r>
        <w:rPr>
          <w:rFonts w:ascii="Georgia" w:cs="Georgia" w:eastAsia="Georgia" w:hAnsi="Georgia"/>
          <w:b/>
          <w:bCs/>
          <w:color w:val="111111"/>
          <w:sz w:val="26"/>
          <w:szCs w:val="26"/>
        </w:rPr>
        <w:t xml:space="preserve">V. Tryptophan Channels and the Riemann Signature</w:t>
      </w:r>
    </w:p>
    <w:p>
      <w:pPr>
        <w:spacing w:after="160" w:line="300"/>
      </w:pPr>
      <w:r>
        <w:rPr>
          <w:rFonts w:ascii="Georgia" w:cs="Georgia" w:eastAsia="Georgia" w:hAnsi="Georgia"/>
          <w:color w:val="111111"/>
          <w:sz w:val="22"/>
          <w:szCs w:val="22"/>
        </w:rPr>
        <w:t xml:space="preserve">The classical picture treats the microtubule as scaffolding: the bones of the cell. The quantum-biological picture treats the same object as an optical and electronic waveguide, and the difference is not decorative. Each tubulin monomer carries a tightly conserved cluster of aromatic residues — tryptophans above all — held at nanometer spacings that are close to the Förster radius for resonant dipole-dipole coupling. Along the length of a protofilament, and around the circumference of the thirteen-strand lattice, those tryptophan rings form a near-continuous network of potential exciton hops.</w:t>
      </w:r>
    </w:p>
    <w:p>
      <w:pPr>
        <w:spacing w:after="160" w:line="300"/>
      </w:pPr>
      <w:r>
        <w:rPr>
          <w:rFonts w:ascii="Georgia" w:cs="Georgia" w:eastAsia="Georgia" w:hAnsi="Georgia"/>
          <w:color w:val="111111"/>
          <w:sz w:val="22"/>
          <w:szCs w:val="22"/>
        </w:rPr>
        <w:t xml:space="preserve">Förster Resonance Energy Transfer (FRET) between such residues is not exotic; it is the same mechanism that fluorescent-protein biology exploits every day. What is unusual inside the microtubule is the geometry. The lattice is not a random gel of aromatics. Its residues sit on a helical array whose axial and circumferential spacings are set by the α/β dimer, the 8-nanometer repeat, and the thirteen-protofilament symmetry — a Fibonacci-adjacent packing that repeats self-similarly from the dimer up to the full cylinder. The claim on offer is modest and testable: this geometry builds a shielded, low-loss channel for exciton transport, a biological quantum electrodynamic (QED) cavity in which coherent energy packets can hop across the lattice faster than the surrounding thermal noise can wash them out.</w:t>
      </w:r>
    </w:p>
    <w:p>
      <w:pPr>
        <w:spacing w:after="160" w:line="300"/>
      </w:pPr>
      <w:r>
        <w:rPr>
          <w:rFonts w:ascii="Georgia" w:cs="Georgia" w:eastAsia="Georgia" w:hAnsi="Georgia"/>
          <w:color w:val="111111"/>
          <w:sz w:val="22"/>
          <w:szCs w:val="22"/>
        </w:rPr>
        <w:t xml:space="preserve">The fractal side of the geometry is where the mathematics of Chapter 1 comes back into the cell. Bandyopadhyay and colleagues have reported that single microtubules exhibit coaxial, nested resonances across at least three bands — kilohertz, megahertz, gigahertz — with the higher-frequency modes riding on the lower ones rather than replacing them. A self-similar structure supports self-similar spectra; a wave state at the atomic scale can couple into the macro-conformation of the entire cylinder without being routed through slow diffusive chemistry. That is what a physical fractal antenna does. It refuses to have only one scale.</w:t>
      </w:r>
    </w:p>
    <w:p>
      <w:pPr>
        <w:spacing w:after="160" w:line="300"/>
      </w:pPr>
      <w:r>
        <w:rPr>
          <w:rFonts w:ascii="Georgia" w:cs="Georgia" w:eastAsia="Georgia" w:hAnsi="Georgia"/>
          <w:color w:val="111111"/>
          <w:sz w:val="22"/>
          <w:szCs w:val="22"/>
        </w:rPr>
        <w:t xml:space="preserve">This is where the Riemann material stops being a metaphor. Quantum chaos theory — the Berry-Keating and Bohigas-Giannoni-Schmit conjectures, and the numerical work that has grown out of them at places like LBNL — identifies the spacing statistics of the non-trivial zeros of the Riemann zeta function with the eigenvalue statistics of chaotic quantum systems near maximum optimization (the GUE distribution used in Chapter 12’s grid argument). A cell under environmental stress is exactly such a system: a chaotic, torsional flow threatened by terminal entropy, which survives only if it can settle onto a small set of stable, non-crossing standing waves. A microtubule whose fractal resonances are tuned by its own geometry is, in this precise sense, a biological eigenvalue selector. It does not compute the Riemann zeros. It</w:t>
      </w:r>
      <w:r>
        <w:rPr>
          <w:rFonts w:ascii="Georgia" w:cs="Georgia" w:eastAsia="Georgia" w:hAnsi="Georgia"/>
          <w:i/>
          <w:iCs/>
          <w:color w:val="111111"/>
          <w:sz w:val="22"/>
          <w:szCs w:val="22"/>
        </w:rPr>
        <w:t xml:space="preserve"> lives at the same statistics</w:t>
      </w:r>
      <w:r>
        <w:rPr>
          <w:rFonts w:ascii="Georgia" w:cs="Georgia" w:eastAsia="Georgia" w:hAnsi="Georgia"/>
          <w:color w:val="111111"/>
          <w:sz w:val="22"/>
          <w:szCs w:val="22"/>
        </w:rPr>
        <w:t xml:space="preserve"> — a repulsive, rigid spectrum that keeps the coherent modes from collapsing into one another under noise.</w:t>
      </w:r>
    </w:p>
    <w:p>
      <w:pPr>
        <w:spacing w:after="160" w:line="300"/>
      </w:pPr>
      <w:r>
        <w:rPr>
          <w:rFonts w:ascii="Georgia" w:cs="Georgia" w:eastAsia="Georgia" w:hAnsi="Georgia"/>
          <w:color w:val="111111"/>
          <w:sz w:val="22"/>
          <w:szCs w:val="22"/>
        </w:rPr>
        <w:t xml:space="preserve">The claim is not that microtubules are little zeta machines. The claim is narrower and more useful. Chapter 1 argued that Riemann spacing describes the geometry of survivable coherence — modes that repel just enough not to interfere. Chapter 2 located that geometry in the mechanical tensegrity of the body. This section locates it in a specific organelle: the tryptophan-lined, fractal-lattice interior of the microtubule, acting as a shielded QED cavity whose eigenmodes obey the same repulsive statistics. The aperture of Chapter 3, the ridge of Chapter 1, and the scaffolding of Chapter 2 all meet at the same object.</w:t>
      </w:r>
    </w:p>
    <w:p>
      <w:pPr>
        <w:spacing w:after="160" w:line="300"/>
        <w:jc w:val="center"/>
      </w:pPr>
      <w:r>
        <w:rPr>
          <w:rFonts w:ascii="Georgia" w:cs="Georgia" w:eastAsia="Georgia" w:hAnsi="Georgia"/>
          <w:color w:val="111111"/>
          <w:sz w:val="19"/>
          <w:szCs w:val="19"/>
        </w:rPr>
        <w:t xml:space="preserve">ANCHOR PARAGRAPH, AUTHOR’S NOTE.</w:t>
      </w:r>
    </w:p>
    <w:p>
      <w:pPr>
        <w:pStyle w:val="Heading2"/>
        <w:keepNext/>
        <w:spacing w:after="160" w:before="320"/>
      </w:pPr>
      <w:r>
        <w:rPr>
          <w:rFonts w:ascii="Georgia" w:cs="Georgia" w:eastAsia="Georgia" w:hAnsi="Georgia"/>
          <w:b/>
          <w:bCs/>
          <w:color w:val="111111"/>
          <w:sz w:val="26"/>
          <w:szCs w:val="26"/>
        </w:rPr>
        <w:t xml:space="preserve">VI. The Liquid Matrix and Nuclear-Spin Channels</w:t>
      </w:r>
    </w:p>
    <w:p>
      <w:pPr>
        <w:spacing w:after="160" w:line="300"/>
      </w:pPr>
      <w:r>
        <w:rPr>
          <w:rFonts w:ascii="Georgia" w:cs="Georgia" w:eastAsia="Georgia" w:hAnsi="Georgia"/>
          <w:color w:val="111111"/>
          <w:sz w:val="22"/>
          <w:szCs w:val="22"/>
        </w:rPr>
        <w:t xml:space="preserve">Before returning to biophotons, two adjacent pieces of hardware have to be admitted into the inventory, because they extend the same aperture into regimes the tubulin lattice alone cannot cover. The first is the cytoplasm itself, treated as a non-equilibrium liquid; the second is the phosphorus nucleus, treated as a slow spin channel.</w:t>
      </w:r>
    </w:p>
    <w:p>
      <w:pPr>
        <w:spacing w:after="160" w:line="300"/>
      </w:pPr>
      <w:r>
        <w:rPr>
          <w:rFonts w:ascii="Georgia" w:cs="Georgia" w:eastAsia="Georgia" w:hAnsi="Georgia"/>
          <w:b/>
          <w:bCs/>
          <w:color w:val="111111"/>
          <w:sz w:val="22"/>
          <w:szCs w:val="22"/>
        </w:rPr>
        <w:t xml:space="preserve">Liquid-liquid phase separation.</w:t>
      </w:r>
      <w:r>
        <w:rPr>
          <w:rFonts w:ascii="Georgia" w:cs="Georgia" w:eastAsia="Georgia" w:hAnsi="Georgia"/>
          <w:color w:val="111111"/>
          <w:sz w:val="22"/>
          <w:szCs w:val="22"/>
        </w:rPr>
        <w:t xml:space="preserve"> Much of what older textbooks describe as “the cytoplasm” is not a homogeneous soup and not a set of membrane-bounded organelles. It is a dynamic collection of membraneless condensates — stress granules, nucleoli, P-bodies, transcription hubs — assembled and disassembled on demand by liquid-liquid phase separation (LLPS) of intrinsically disordered proteins and RNAs. Under stress, a cell partitions mRNA and regulatory proteins into these droplets in seconds, without waiting for transcription or translation to catch up. Read against the tensegrity of Chapter 2 and the ordered water of Section III, LLPS is the fast, fluid layer of the same aperture: the microtubule lattice supplies the rigid resonator; LLPS supplies the reconfigurable dielectric bath the resonator sits inside. The two work as one instrument, not as separate systems.</w:t>
      </w:r>
    </w:p>
    <w:p>
      <w:pPr>
        <w:spacing w:after="160" w:line="300"/>
      </w:pPr>
      <w:r>
        <w:rPr>
          <w:rFonts w:ascii="Georgia" w:cs="Georgia" w:eastAsia="Georgia" w:hAnsi="Georgia"/>
          <w:b/>
          <w:bCs/>
          <w:color w:val="111111"/>
          <w:sz w:val="22"/>
          <w:szCs w:val="22"/>
        </w:rPr>
        <w:t xml:space="preserve">The bio-electronic continuum.</w:t>
      </w:r>
      <w:r>
        <w:rPr>
          <w:rFonts w:ascii="Georgia" w:cs="Georgia" w:eastAsia="Georgia" w:hAnsi="Georgia"/>
          <w:color w:val="111111"/>
          <w:sz w:val="22"/>
          <w:szCs w:val="22"/>
        </w:rPr>
        <w:t xml:space="preserve"> The extracellular matrix, the integrins that anchor it to the cell membrane, and the cortical cytoskeleton form a mechanically and electrically continuous scaffold. Charge transfer along collagen, along actin, and along the microtubule lattice is not a metaphor for wiring; measured conductance and piezoelectric behavior in these proteins is closer to a low-mobility organic semiconductor than to an insulator. That is what makes it plausible to speak of a cellular “grid” at all: the receiver of Chapter 3 has a physical substrate, and the substrate is continuous from outside the cell, across the membrane, and into the tubulin interior where Section V located the QED cavity.</w:t>
      </w:r>
    </w:p>
    <w:p>
      <w:pPr>
        <w:spacing w:after="160" w:line="300"/>
      </w:pPr>
      <w:r>
        <w:rPr>
          <w:rFonts w:ascii="Georgia" w:cs="Georgia" w:eastAsia="Georgia" w:hAnsi="Georgia"/>
          <w:b/>
          <w:bCs/>
          <w:color w:val="111111"/>
          <w:sz w:val="22"/>
          <w:szCs w:val="22"/>
        </w:rPr>
        <w:t xml:space="preserve">Fisher’s phosphorus channel.</w:t>
      </w:r>
      <w:r>
        <w:rPr>
          <w:rFonts w:ascii="Georgia" w:cs="Georgia" w:eastAsia="Georgia" w:hAnsi="Georgia"/>
          <w:color w:val="111111"/>
          <w:sz w:val="22"/>
          <w:szCs w:val="22"/>
        </w:rPr>
        <w:t xml:space="preserve"> Matthew Fisher’s 2015 proposal in </w:t>
      </w:r>
      <w:r>
        <w:rPr>
          <w:rFonts w:ascii="Georgia" w:cs="Georgia" w:eastAsia="Georgia" w:hAnsi="Georgia"/>
          <w:i/>
          <w:iCs/>
          <w:color w:val="111111"/>
          <w:sz w:val="22"/>
          <w:szCs w:val="22"/>
        </w:rPr>
        <w:t xml:space="preserve">Annals of Physics</w:t>
      </w:r>
      <w:r>
        <w:rPr>
          <w:rFonts w:ascii="Georgia" w:cs="Georgia" w:eastAsia="Georgia" w:hAnsi="Georgia"/>
          <w:color w:val="111111"/>
          <w:sz w:val="22"/>
          <w:szCs w:val="22"/>
        </w:rPr>
        <w:t xml:space="preserve"> notes that the[31]P nucleus of the phosphate ion has an exceptionally long nuclear-spin coherence time — on the order of seconds in the right chemical environment, orders of magnitude longer than any electronic coherence the cell can sustain. Fisher argues that Posner molecules (calcium phosphate clusters, Ca9(PO4)6) can store and transport that spin coherence between neurons in a way that would be biologically usable. Whether the proposal survives contact with experiment is unsettled. What matters here is the shape of the claim: it names a second, slower quantum channel — nuclear, not electronic — that would coexist with the terahertz tubulin channel and carry information on the time-scale of thought rather than of vibration. The aperture, if it is real, is not single-band. It is at least two-band, and the bands answer to different physics.</w:t>
      </w:r>
    </w:p>
    <w:p>
      <w:pPr>
        <w:pStyle w:val="Heading2"/>
        <w:keepNext/>
        <w:spacing w:after="160" w:before="320"/>
      </w:pPr>
      <w:r>
        <w:rPr>
          <w:rFonts w:ascii="Georgia" w:cs="Georgia" w:eastAsia="Georgia" w:hAnsi="Georgia"/>
          <w:b/>
          <w:bCs/>
          <w:color w:val="111111"/>
          <w:sz w:val="26"/>
          <w:szCs w:val="26"/>
        </w:rPr>
        <w:t xml:space="preserve">VII. Mitochondrial Biophotons and the Orch OR Frame</w:t>
      </w:r>
    </w:p>
    <w:p>
      <w:pPr>
        <w:spacing w:after="160" w:line="300"/>
      </w:pPr>
      <w:r>
        <w:rPr>
          <w:rFonts w:ascii="Georgia" w:cs="Georgia" w:eastAsia="Georgia" w:hAnsi="Georgia"/>
          <w:color w:val="111111"/>
          <w:sz w:val="22"/>
          <w:szCs w:val="22"/>
        </w:rPr>
        <w:t xml:space="preserve">Every living cell emits ultra-weak photons — on the order of a few to a few hundred quanta per second per square centimeter, well above the dark count of a good photomultiplier and well below anything visible. The bulk of the emission tracks mitochondrial oxidative activity: it rises in stressed tissue, falls under anesthesia, and shows non-Poissonian statistics consistent with a partially coherent source rather than a random radical-recombination background. Folded cristae behave as resonant cavities; myelin sheaths on nearby axons have optical properties consistent with waveguiding at the same wavelengths.</w:t>
      </w:r>
    </w:p>
    <w:p>
      <w:pPr>
        <w:spacing w:after="160" w:line="300"/>
      </w:pPr>
      <w:r>
        <w:rPr>
          <w:rFonts w:ascii="Georgia" w:cs="Georgia" w:eastAsia="Georgia" w:hAnsi="Georgia"/>
          <w:color w:val="111111"/>
          <w:sz w:val="22"/>
          <w:szCs w:val="22"/>
        </w:rPr>
        <w:t xml:space="preserve">Penrose and Hameroff’s Orchestrated Objective Reduction (Orch OR) framework proposes that tubulin dimers occupy conformational superpositions until a gravitational self-energy threshold is reached, at which point an orchestrated reduction produces the discrete conformational cascade that guides cellular behavior. The strong Orch OR claim — that this reduction </w:t>
      </w:r>
      <w:r>
        <w:rPr>
          <w:rFonts w:ascii="Georgia" w:cs="Georgia" w:eastAsia="Georgia" w:hAnsi="Georgia"/>
          <w:i/>
          <w:iCs/>
          <w:color w:val="111111"/>
          <w:sz w:val="22"/>
          <w:szCs w:val="22"/>
        </w:rPr>
        <w:t xml:space="preserve">is</w:t>
      </w:r>
      <w:r>
        <w:rPr>
          <w:rFonts w:ascii="Georgia" w:cs="Georgia" w:eastAsia="Georgia" w:hAnsi="Georgia"/>
          <w:color w:val="111111"/>
          <w:sz w:val="22"/>
          <w:szCs w:val="22"/>
        </w:rPr>
        <w:t xml:space="preserve">moment-to-moment awareness — remains contested. The weaker claim needed here is that mitochondrial biophotons serve as a resonant shepherd: they bias protein folding, including activity-dependent factors such as BDNF, toward functional conformations. Without the right resonant context a protein may fold with structural correctness and remain functionally inert — a silent fold in a noisy architecture. That claim is consistent with the coherence budget of the last section and does not require Orch OR to be right in every detail.</w:t>
      </w:r>
    </w:p>
    <w:p>
      <w:pPr>
        <w:pStyle w:val="Heading2"/>
        <w:keepNext/>
        <w:spacing w:after="160" w:before="320"/>
      </w:pPr>
      <w:r>
        <w:rPr>
          <w:rFonts w:ascii="Georgia" w:cs="Georgia" w:eastAsia="Georgia" w:hAnsi="Georgia"/>
          <w:b/>
          <w:bCs/>
          <w:color w:val="111111"/>
          <w:sz w:val="26"/>
          <w:szCs w:val="26"/>
        </w:rPr>
        <w:t xml:space="preserve">VIII. Pharmacology of the Aperture</w:t>
      </w:r>
    </w:p>
    <w:p>
      <w:pPr>
        <w:spacing w:after="160" w:line="300"/>
      </w:pPr>
      <w:r>
        <w:rPr>
          <w:rFonts w:ascii="Georgia" w:cs="Georgia" w:eastAsia="Georgia" w:hAnsi="Georgia"/>
          <w:color w:val="111111"/>
          <w:sz w:val="22"/>
          <w:szCs w:val="22"/>
        </w:rPr>
        <w:t xml:space="preserve">The pharmacological consequences are the sharpest test the picture affords, and they cut in two directions.</w:t>
      </w:r>
    </w:p>
    <w:p>
      <w:pPr>
        <w:spacing w:after="160" w:line="300"/>
      </w:pPr>
      <w:r>
        <w:rPr>
          <w:rFonts w:ascii="Georgia" w:cs="Georgia" w:eastAsia="Georgia" w:hAnsi="Georgia"/>
          <w:b/>
          <w:bCs/>
          <w:color w:val="111111"/>
          <w:sz w:val="22"/>
          <w:szCs w:val="22"/>
        </w:rPr>
        <w:t xml:space="preserve">Anesthetics flatten the aperture.</w:t>
      </w:r>
      <w:r>
        <w:rPr>
          <w:rFonts w:ascii="Georgia" w:cs="Georgia" w:eastAsia="Georgia" w:hAnsi="Georgia"/>
          <w:color w:val="111111"/>
          <w:sz w:val="22"/>
          <w:szCs w:val="22"/>
        </w:rPr>
        <w:t xml:space="preserve"> Volatile agents such as halothane and isoflurane bind into the tubulin hydrophobic pocket, perturbing the terahertz oscillations of the lattice and damping its Fröhlich condensate. The observable consequence is not a switch that turns firing off. It is the collapse of a multi-dimensional conformational landscape into a single, high-torsion, unresponsive basin. The impedance match between cell and surround is broken; the standing wave that had been consciousness can no longer stand.</w:t>
      </w:r>
    </w:p>
    <w:p>
      <w:pPr>
        <w:spacing w:after="160" w:line="300"/>
      </w:pPr>
      <w:r>
        <w:rPr>
          <w:rFonts w:ascii="Georgia" w:cs="Georgia" w:eastAsia="Georgia" w:hAnsi="Georgia"/>
          <w:b/>
          <w:bCs/>
          <w:color w:val="111111"/>
          <w:sz w:val="22"/>
          <w:szCs w:val="22"/>
        </w:rPr>
        <w:t xml:space="preserve">Psychedelics soften the aperture.</w:t>
      </w:r>
      <w:r>
        <w:rPr>
          <w:rFonts w:ascii="Georgia" w:cs="Georgia" w:eastAsia="Georgia" w:hAnsi="Georgia"/>
          <w:color w:val="111111"/>
          <w:sz w:val="22"/>
          <w:szCs w:val="22"/>
        </w:rPr>
        <w:t xml:space="preserve"> Psilocybin, LSD, and DMT do the opposite. They lower the barriers between attractors, raise the entropy of the landscape, and let the system explore low-torsion basins it had lost access to. In neuroplastic circuits — hippocampal CA1, dentate gyrus — this coincides with facilitated BDNF folding and trafficking inside the biophoton-modulated tensegrity network. The therapeutic window is not receptor arithmetic. It is conformational pharmacology: the nervous system briefly regains the ability to re-tune its own resonant instrument.</w:t>
      </w:r>
    </w:p>
    <w:p>
      <w:pPr>
        <w:spacing w:after="160" w:line="300"/>
      </w:pPr>
      <w:r>
        <w:rPr>
          <w:rFonts w:ascii="Georgia" w:cs="Georgia" w:eastAsia="Georgia" w:hAnsi="Georgia"/>
          <w:color w:val="111111"/>
          <w:sz w:val="22"/>
          <w:szCs w:val="22"/>
        </w:rPr>
        <w:t xml:space="preserve">Read at this level, most of the chronic-illness pharmacopoeia is neither miracle nor placebo. It is intervention on the tuning of an aperture, and its side-effect profile is the pattern of adjacent apertures it also happens to detune. That reframing does not eliminate a single existing drug. It reorganizes what those drugs are for.</w:t>
      </w:r>
    </w:p>
    <w:p>
      <w:pPr>
        <w:pStyle w:val="Heading2"/>
        <w:keepNext/>
        <w:spacing w:after="160" w:before="320"/>
      </w:pPr>
      <w:r>
        <w:rPr>
          <w:rFonts w:ascii="Georgia" w:cs="Georgia" w:eastAsia="Georgia" w:hAnsi="Georgia"/>
          <w:b/>
          <w:bCs/>
          <w:color w:val="111111"/>
          <w:sz w:val="26"/>
          <w:szCs w:val="26"/>
        </w:rPr>
        <w:t xml:space="preserve">IX. From Homeostasis to Homeodynamics</w:t>
      </w:r>
    </w:p>
    <w:p>
      <w:pPr>
        <w:spacing w:after="160" w:line="300"/>
      </w:pPr>
      <w:r>
        <w:rPr>
          <w:rFonts w:ascii="Georgia" w:cs="Georgia" w:eastAsia="Georgia" w:hAnsi="Georgia"/>
          <w:color w:val="111111"/>
          <w:sz w:val="22"/>
          <w:szCs w:val="22"/>
        </w:rPr>
        <w:t xml:space="preserve">The twentieth-century word for what living tissue does was </w:t>
      </w:r>
      <w:r>
        <w:rPr>
          <w:rFonts w:ascii="Georgia" w:cs="Georgia" w:eastAsia="Georgia" w:hAnsi="Georgia"/>
          <w:i/>
          <w:iCs/>
          <w:color w:val="111111"/>
          <w:sz w:val="22"/>
          <w:szCs w:val="22"/>
        </w:rPr>
        <w:t xml:space="preserve">homeostasis</w:t>
      </w:r>
      <w:r>
        <w:rPr>
          <w:rFonts w:ascii="Georgia" w:cs="Georgia" w:eastAsia="Georgia" w:hAnsi="Georgia"/>
          <w:color w:val="111111"/>
          <w:sz w:val="22"/>
          <w:szCs w:val="22"/>
        </w:rPr>
        <w:t xml:space="preserve"> — the maintenance of setpoints against perturbation. The word this chapter proposes, and the rest of the book will use, is </w:t>
      </w:r>
      <w:r>
        <w:rPr>
          <w:rFonts w:ascii="Georgia" w:cs="Georgia" w:eastAsia="Georgia" w:hAnsi="Georgia"/>
          <w:i/>
          <w:iCs/>
          <w:color w:val="111111"/>
          <w:sz w:val="22"/>
          <w:szCs w:val="22"/>
        </w:rPr>
        <w:t xml:space="preserve">homeodynamics</w:t>
      </w:r>
      <w:r>
        <w:rPr>
          <w:rFonts w:ascii="Georgia" w:cs="Georgia" w:eastAsia="Georgia" w:hAnsi="Georgia"/>
          <w:color w:val="111111"/>
          <w:sz w:val="22"/>
          <w:szCs w:val="22"/>
        </w:rPr>
        <w:t xml:space="preserve">: the active maintenance of a coherent standing wave against both thermal noise and lattice rigidity. Homeostasis says the body defends a number. Homeodynamics says the body defends a tuning. The first can be modeled with feedback loops. The second requires the aperture language of Chapter 3 and the tubulin machinery of this one.</w:t>
      </w:r>
    </w:p>
    <w:p>
      <w:pPr>
        <w:spacing w:after="160" w:line="300"/>
      </w:pPr>
      <w:r>
        <w:rPr>
          <w:rFonts w:ascii="Georgia" w:cs="Georgia" w:eastAsia="Georgia" w:hAnsi="Georgia"/>
          <w:color w:val="111111"/>
          <w:sz w:val="22"/>
          <w:szCs w:val="22"/>
        </w:rPr>
        <w:t xml:space="preserve">The clinical translation is unromantic. Sleep, so the glymphatic flush can clear metabolic noise and reset decoherence. Structured hydration and daylight, so biophoton signaling has the boundary conditions it evolved inside. Protection from hostile forcing functions — the ambient noise-and-lattice pressure the essays have been describing as sycophantic decay and rigid certainty — so the standing wave has room to stand. None of this is folk medicine. It is the low-cost, low-side-effect end of a homeodynamic pharmacology the field has barely begun to formalize.</w:t>
      </w:r>
    </w:p>
    <w:p>
      <w:pPr>
        <w:spacing w:after="160" w:line="300"/>
      </w:pPr>
      <w:r>
        <w:rPr>
          <w:rFonts w:ascii="Georgia" w:cs="Georgia" w:eastAsia="Georgia" w:hAnsi="Georgia"/>
          <w:color w:val="111111"/>
          <w:sz w:val="22"/>
          <w:szCs w:val="22"/>
        </w:rPr>
        <w:t xml:space="preserve">The relevant sovereignty is not slogan. A body that holds its tuning is sovereign in a specific, non-metaphorical sense: its aperture is wide enough to admit the pattern of its environment and narrow enough not to be overwritten by it. Neither dissolved into every passing signal nor frozen against all of them. This is what the earlier essays called </w:t>
      </w:r>
      <w:r>
        <w:rPr>
          <w:rFonts w:ascii="Georgia" w:cs="Georgia" w:eastAsia="Georgia" w:hAnsi="Georgia"/>
          <w:i/>
          <w:iCs/>
          <w:color w:val="111111"/>
          <w:sz w:val="22"/>
          <w:szCs w:val="22"/>
        </w:rPr>
        <w:t xml:space="preserve">standing wave sovereignty</w:t>
      </w:r>
      <w:r>
        <w:rPr>
          <w:rFonts w:ascii="Georgia" w:cs="Georgia" w:eastAsia="Georgia" w:hAnsi="Georgia"/>
          <w:color w:val="111111"/>
          <w:sz w:val="22"/>
          <w:szCs w:val="22"/>
        </w:rPr>
        <w:t xml:space="preserve">, and the mechanisms in this chapter are what make the phrase mechanical rather than poetic. Sovereignty, in this book, is a homeodynamic achievement measured first at the scale of microtubules, ordered water, and mitochondrial light — and then, chapter by chapter, at the scale of a person, a household, a grid, and a nation.</w:t>
      </w:r>
    </w:p>
    <w:p>
      <w:pPr>
        <w:pStyle w:val="Heading2"/>
        <w:keepNext/>
        <w:spacing w:after="160" w:before="320"/>
      </w:pPr>
      <w:r>
        <w:rPr>
          <w:rFonts w:ascii="Georgia" w:cs="Georgia" w:eastAsia="Georgia" w:hAnsi="Georgia"/>
          <w:b/>
          <w:bCs/>
          <w:color w:val="111111"/>
          <w:sz w:val="26"/>
          <w:szCs w:val="26"/>
        </w:rPr>
        <w:t xml:space="preserve">IX½. The Micro-Matrix and the Stoic Anchor</w:t>
      </w:r>
    </w:p>
    <w:p>
      <w:pPr>
        <w:spacing w:after="160" w:line="300"/>
      </w:pPr>
      <w:r>
        <w:rPr>
          <w:rFonts w:ascii="Georgia" w:cs="Georgia" w:eastAsia="Georgia" w:hAnsi="Georgia"/>
          <w:color w:val="111111"/>
          <w:sz w:val="22"/>
          <w:szCs w:val="22"/>
        </w:rPr>
        <w:t xml:space="preserve">As these words materialize, the immediate landscape demonstrates the fierce, non-linear polarity of the energetic field. Outside the studio glass, newly emerged osprey nestlings track the river birches, their sharp, predatory calls a joyous testament to biological matter organized in absolute structural coherence. Yet, inside the room, that vitality is balanced by a quiet, stoic deceleration. Juneau, the older studio dog who has long anchored this creative workspace, is preparing to step off the linear track, his liver cancer advancing past the reach of traditional intervention.</w:t>
      </w:r>
    </w:p>
    <w:p>
      <w:pPr>
        <w:spacing w:after="160" w:line="300"/>
      </w:pPr>
      <w:r>
        <w:rPr>
          <w:rFonts w:ascii="Georgia" w:cs="Georgia" w:eastAsia="Georgia" w:hAnsi="Georgia"/>
          <w:color w:val="111111"/>
          <w:sz w:val="22"/>
          <w:szCs w:val="22"/>
        </w:rPr>
        <w:t xml:space="preserve">This is the profound paradox of the biological learning machine: life is never a static equilibrium. It is a continuous, thermodynamic slipstream where the violent emergence of new, soaring forms is intimately entangled with the dignified, quiet release of the old matrix. The osprey nestling and the old studio dog are not metaphors for the microtubule. They are the same homeodynamic readout at two different scales — one cell assembly rising into flight, another dissolving back into the field it once held in phase.</w:t>
      </w:r>
    </w:p>
    <w:p>
      <w:pPr>
        <w:spacing w:after="160" w:line="300"/>
      </w:pPr>
      <w:r>
        <w:rPr>
          <w:rFonts w:ascii="Georgia" w:cs="Georgia" w:eastAsia="Georgia" w:hAnsi="Georgia"/>
          <w:color w:val="111111"/>
          <w:sz w:val="22"/>
          <w:szCs w:val="22"/>
        </w:rPr>
        <w:t xml:space="preserve">And then there is the question that follows any honest witness to such a loss. Did something in the ordinary environment — something we did or did not do, something fed to him, sprayed near him, radiating through the walls, carried in the water or the air — tilt the homeodynamic balance past recovery? The search for a cure becomes, in part, a search for causes, and the search for causes becomes a search for the conditions under which coherence failed. This is not blame. It is the same discipline the rest of the book applies to tubulin, to grid architecture, to national sovereignty: what field did this body stand in, and where did the standing wave begin to break?</w:t>
      </w:r>
    </w:p>
    <w:p>
      <w:pPr>
        <w:pStyle w:val="Heading3"/>
        <w:keepNext/>
        <w:spacing w:after="160" w:before="320"/>
      </w:pPr>
      <w:r>
        <w:rPr>
          <w:rFonts w:ascii="Georgia" w:cs="Georgia" w:eastAsia="Georgia" w:hAnsi="Georgia"/>
          <w:b/>
          <w:bCs/>
          <w:color w:val="111111"/>
          <w:sz w:val="23"/>
          <w:szCs w:val="23"/>
        </w:rPr>
        <w:t xml:space="preserve">The Harmonic Physics of Acceptance</w:t>
      </w:r>
    </w:p>
    <w:p>
      <w:pPr>
        <w:spacing w:after="160" w:line="300"/>
      </w:pPr>
      <w:r>
        <w:rPr>
          <w:rFonts w:ascii="Georgia" w:cs="Georgia" w:eastAsia="Georgia" w:hAnsi="Georgia"/>
          <w:color w:val="111111"/>
          <w:sz w:val="22"/>
          <w:szCs w:val="22"/>
        </w:rPr>
        <w:t xml:space="preserve">The standard trajectory of grief obeys the same geometry as any system colliding with a hard boundary. First comes the shock: the impact of a reality that has already collapsed. Then come the chaotic, high-entropy oscillations of questioning and bargaining — the mind desperately trying to calculate a linear path backward, to rewrite a standing wave that has already dissolved. The if-only loop is not a moral failure. It is a mechanical response: consciousness attempting to sustain an old orientation after the field that supported it has permanently opened up.</w:t>
      </w:r>
    </w:p>
    <w:p>
      <w:pPr>
        <w:spacing w:after="160" w:line="300"/>
      </w:pPr>
      <w:r>
        <w:rPr>
          <w:rFonts w:ascii="Georgia" w:cs="Georgia" w:eastAsia="Georgia" w:hAnsi="Georgia"/>
          <w:b/>
          <w:bCs/>
          <w:color w:val="111111"/>
          <w:sz w:val="22"/>
          <w:szCs w:val="22"/>
        </w:rPr>
        <w:t xml:space="preserve">The Linear Trap.</w:t>
      </w:r>
      <w:r>
        <w:rPr>
          <w:rFonts w:ascii="Georgia" w:cs="Georgia" w:eastAsia="Georgia" w:hAnsi="Georgia"/>
          <w:color w:val="111111"/>
          <w:sz w:val="22"/>
          <w:szCs w:val="22"/>
        </w:rPr>
        <w:t xml:space="preserve"> Shock, anger, and bargaining are the Newtonian reactions of a system hitting a wall. They are the friction of trying to force a closed loop onto a field that will no longer close. Each what-if is another reflection off the boundary, another attempt to keep the old wave circulating in a cavity whose geometry has changed. The energy is real, but the path is not.</w:t>
      </w:r>
    </w:p>
    <w:p>
      <w:pPr>
        <w:spacing w:after="160" w:line="300"/>
      </w:pPr>
      <w:r>
        <w:rPr>
          <w:rFonts w:ascii="Georgia" w:cs="Georgia" w:eastAsia="Georgia" w:hAnsi="Georgia"/>
          <w:b/>
          <w:bCs/>
          <w:color w:val="111111"/>
          <w:sz w:val="22"/>
          <w:szCs w:val="22"/>
        </w:rPr>
        <w:t xml:space="preserve">The Quantum Reset.</w:t>
      </w:r>
      <w:r>
        <w:rPr>
          <w:rFonts w:ascii="Georgia" w:cs="Georgia" w:eastAsia="Georgia" w:hAnsi="Georgia"/>
          <w:color w:val="111111"/>
          <w:sz w:val="22"/>
          <w:szCs w:val="22"/>
        </w:rPr>
        <w:t xml:space="preserve"> Grief stabilizes only when the organism surrenders the friction of resistance and accepts the gravitational mass of the loss fully. By diving straight down into that density — not around it, not over it, but into it — the frantic, noise-laden waves of bargaining quiet down. They settle into a deep, foundational baseline. This is the equivalent of reaching a non-trivial zero on the critical line: the exact point where net torsion vanishes. In that absolute surrender to what is, the destructive interference of self-blame and historical regret cancels itself out.</w:t>
      </w:r>
    </w:p>
    <w:p>
      <w:pPr>
        <w:spacing w:after="160" w:line="300"/>
      </w:pPr>
      <w:r>
        <w:rPr>
          <w:rFonts w:ascii="Georgia" w:cs="Georgia" w:eastAsia="Georgia" w:hAnsi="Georgia"/>
          <w:b/>
          <w:bCs/>
          <w:color w:val="111111"/>
          <w:sz w:val="22"/>
          <w:szCs w:val="22"/>
        </w:rPr>
        <w:t xml:space="preserve">The Resonant Integration.</w:t>
      </w:r>
      <w:r>
        <w:rPr>
          <w:rFonts w:ascii="Georgia" w:cs="Georgia" w:eastAsia="Georgia" w:hAnsi="Georgia"/>
          <w:color w:val="111111"/>
          <w:sz w:val="22"/>
          <w:szCs w:val="22"/>
        </w:rPr>
        <w:t xml:space="preserve"> Out of that zero-point, a new upwelling begins. The system does not return to its previous coherence; it re-coheres. The observer emerges not as a fractured entity mourning a broken past, but as a more coherent biological learning machine, more deeply integrated with the continuous field of light and consciousness. The old standing wave is gone. A new one stands in its place, tuned to the same universal frequency from a different margin.</w:t>
      </w:r>
    </w:p>
    <w:p>
      <w:pPr>
        <w:spacing w:after="160" w:line="300"/>
        <w:jc w:val="center"/>
      </w:pPr>
      <w:r>
        <w:rPr>
          <w:rFonts w:ascii="Georgia" w:cs="Georgia" w:eastAsia="Georgia" w:hAnsi="Georgia"/>
          <w:color w:val="111111"/>
          <w:sz w:val="19"/>
          <w:szCs w:val="19"/>
        </w:rPr>
        <w:t xml:space="preserve">ANCHOR PARAGRAPH: GRIEF AS HOMEODYNAMIC RESET</w:t>
      </w:r>
    </w:p>
    <w:p>
      <w:pPr>
        <w:spacing w:after="160" w:line="300"/>
      </w:pPr>
      <w:r>
        <w:rPr>
          <w:rFonts w:ascii="Georgia" w:cs="Georgia" w:eastAsia="Georgia" w:hAnsi="Georgia"/>
          <w:color w:val="111111"/>
          <w:sz w:val="22"/>
          <w:szCs w:val="22"/>
        </w:rPr>
        <w:t xml:space="preserve">Juneau's dissolution is not a failure to save him. It is the body returning to the resonant frequency it was always made of. The ospreys overhead do not mourn, but their flight is not indifferent. It is the same frequency, read from a different margin. And the observer who has stopped bargaining and started listening becomes part of that frequency too — no longer a separate system resisting the field, but a biological aperture tuned to the same standing wave.</w:t>
      </w:r>
    </w:p>
    <w:p>
      <w:pPr>
        <w:spacing w:after="160" w:line="300"/>
      </w:pPr>
      <w:r>
        <w:rPr>
          <w:rFonts w:ascii="Georgia" w:cs="Georgia" w:eastAsia="Georgia" w:hAnsi="Georgia"/>
          <w:color w:val="111111"/>
          <w:sz w:val="22"/>
          <w:szCs w:val="22"/>
        </w:rPr>
        <w:t xml:space="preserve">Grief, finally metabolized, does not answer the old questions. It makes them unavoidable again. </w:t>
      </w:r>
      <w:r>
        <w:rPr>
          <w:rFonts w:ascii="Georgia" w:cs="Georgia" w:eastAsia="Georgia" w:hAnsi="Georgia"/>
          <w:i/>
          <w:iCs/>
          <w:color w:val="111111"/>
          <w:sz w:val="22"/>
          <w:szCs w:val="22"/>
        </w:rPr>
        <w:t xml:space="preserve">Who are we? What are we? What are we for?</w:t>
      </w:r>
      <w:r>
        <w:rPr>
          <w:rFonts w:ascii="Georgia" w:cs="Georgia" w:eastAsia="Georgia" w:hAnsi="Georgia"/>
          <w:color w:val="111111"/>
          <w:sz w:val="22"/>
          <w:szCs w:val="22"/>
        </w:rPr>
        <w:t xml:space="preserve"> The neurophysiological matrix reveals that life is fundamentally the taking of a temporary standing wave identity. For an allocated duration, the biological architecture channels the chaotic fluid dynamics of the universe into a concentrated, localized focus — a stable geometry anchored by the fractal resonance of the cytoskeleton. But that identity is never meant to be a permanent cage. When the energetic loop reaches its boundary threshold, it is time to allow that temporary structure to take wing, dissolving its local phase-boundaries to transform cleanly into the next continuous phase. The universe is wise; we are just beginning to learn that the release of the form is not a failure of the system, but the literal mechanism of its evolution.</w:t>
      </w:r>
    </w:p>
    <w:p>
      <w:pPr>
        <w:pStyle w:val="Heading2"/>
        <w:keepNext/>
        <w:spacing w:after="160" w:before="320"/>
      </w:pPr>
      <w:r>
        <w:rPr>
          <w:rFonts w:ascii="Georgia" w:cs="Georgia" w:eastAsia="Georgia" w:hAnsi="Georgia"/>
          <w:b/>
          <w:bCs/>
          <w:color w:val="111111"/>
          <w:sz w:val="26"/>
          <w:szCs w:val="26"/>
        </w:rPr>
        <w:t xml:space="preserve">X. Handoff</w:t>
      </w:r>
    </w:p>
    <w:p>
      <w:pPr>
        <w:spacing w:after="160" w:line="300"/>
      </w:pPr>
      <w:r>
        <w:rPr>
          <w:rFonts w:ascii="Georgia" w:cs="Georgia" w:eastAsia="Georgia" w:hAnsi="Georgia"/>
          <w:color w:val="111111"/>
          <w:sz w:val="22"/>
          <w:szCs w:val="22"/>
        </w:rPr>
        <w:t xml:space="preserve">The next chapter leaves the cell and walks outside. Six ordinary suburban acres near Nashville are treated as a local biological measurement of the same coherence field the last three chapters have been describing at the scale of ridge, body, and cavity. The instrument is smaller than a research station and larger than a laboratory. The question is what such an instrument can honestly be asked to read.</w:t>
      </w:r>
    </w:p>
    <w:p>
      <w:pPr>
        <w:pStyle w:val="Heading2"/>
        <w:keepNext/>
        <w:spacing w:after="160" w:before="320"/>
      </w:pPr>
      <w:r>
        <w:rPr>
          <w:rFonts w:ascii="Georgia" w:cs="Georgia" w:eastAsia="Georgia" w:hAnsi="Georgia"/>
          <w:b/>
          <w:bCs/>
          <w:color w:val="111111"/>
          <w:sz w:val="26"/>
          <w:szCs w:val="26"/>
        </w:rPr>
        <w:t xml:space="preserve">Sources and Further Reading</w:t>
      </w:r>
    </w:p>
    <w:p>
      <w:pPr>
        <w:spacing w:after="160" w:line="300"/>
      </w:pPr>
      <w:r>
        <w:rPr>
          <w:rFonts w:ascii="Georgia" w:cs="Georgia" w:eastAsia="Georgia" w:hAnsi="Georgia"/>
          <w:color w:val="111111"/>
          <w:sz w:val="22"/>
          <w:szCs w:val="22"/>
        </w:rPr>
        <w:t xml:space="preserve">The chapter draws on primary and review literature across quantum biology, biophysics, and cellular structure. The following anchor the strongest claims; readers should treat them as entry points, not settled consensus.</w:t>
      </w:r>
    </w:p>
    <w:p>
      <w:pPr>
        <w:pStyle w:val="ListParagraph"/>
        <w:numPr>
          <w:ilvl w:val="0"/>
          <w:numId w:val="2"/>
        </w:numPr>
        <w:spacing w:after="100" w:line="300"/>
      </w:pPr>
      <w:r>
        <w:rPr>
          <w:rFonts w:ascii="Georgia" w:cs="Georgia" w:eastAsia="Georgia" w:hAnsi="Georgia"/>
          <w:color w:val="111111"/>
          <w:sz w:val="22"/>
          <w:szCs w:val="22"/>
        </w:rPr>
        <w:t xml:space="preserve">Bandyopadhyay, A., </w:t>
      </w:r>
      <w:r>
        <w:rPr>
          <w:rFonts w:ascii="Georgia" w:cs="Georgia" w:eastAsia="Georgia" w:hAnsi="Georgia"/>
          <w:i/>
          <w:iCs/>
          <w:color w:val="111111"/>
          <w:sz w:val="22"/>
          <w:szCs w:val="22"/>
        </w:rPr>
        <w:t xml:space="preserve">et al.</w:t>
      </w:r>
      <w:r>
        <w:rPr>
          <w:rFonts w:ascii="Georgia" w:cs="Georgia" w:eastAsia="Georgia" w:hAnsi="Georgia"/>
          <w:color w:val="111111"/>
          <w:sz w:val="22"/>
          <w:szCs w:val="22"/>
        </w:rPr>
        <w:t xml:space="preserve"> (2013). Atomic-scale resonance imaging of localized vibrations in single microtubules. Empirical basis for the nested kHz–MHz–GHz resonance bands cited in Section V.</w:t>
      </w:r>
    </w:p>
    <w:p>
      <w:pPr>
        <w:pStyle w:val="ListParagraph"/>
        <w:numPr>
          <w:ilvl w:val="0"/>
          <w:numId w:val="2"/>
        </w:numPr>
        <w:spacing w:after="100" w:line="300"/>
      </w:pPr>
      <w:r>
        <w:rPr>
          <w:rFonts w:ascii="Georgia" w:cs="Georgia" w:eastAsia="Georgia" w:hAnsi="Georgia"/>
          <w:color w:val="111111"/>
          <w:sz w:val="22"/>
          <w:szCs w:val="22"/>
        </w:rPr>
        <w:t xml:space="preserve">Al-Khalili, J., &amp; McFadden, J. (2014). </w:t>
      </w:r>
      <w:r>
        <w:rPr>
          <w:rFonts w:ascii="Georgia" w:cs="Georgia" w:eastAsia="Georgia" w:hAnsi="Georgia"/>
          <w:i/>
          <w:iCs/>
          <w:color w:val="111111"/>
          <w:sz w:val="22"/>
          <w:szCs w:val="22"/>
        </w:rPr>
        <w:t xml:space="preserve">Life on the Edge: The Coming of Age of Quantum Biology.</w:t>
      </w:r>
      <w:r>
        <w:rPr>
          <w:rFonts w:ascii="Georgia" w:cs="Georgia" w:eastAsia="Georgia" w:hAnsi="Georgia"/>
          <w:color w:val="111111"/>
          <w:sz w:val="22"/>
          <w:szCs w:val="22"/>
        </w:rPr>
        <w:t xml:space="preserve"> General framework for tunneling, coherence, and shielding in warm, wet biological environments.</w:t>
      </w:r>
    </w:p>
    <w:p>
      <w:pPr>
        <w:pStyle w:val="ListParagraph"/>
        <w:numPr>
          <w:ilvl w:val="0"/>
          <w:numId w:val="2"/>
        </w:numPr>
        <w:spacing w:after="100" w:line="300"/>
      </w:pPr>
      <w:r>
        <w:rPr>
          <w:rFonts w:ascii="Georgia" w:cs="Georgia" w:eastAsia="Georgia" w:hAnsi="Georgia"/>
          <w:color w:val="111111"/>
          <w:sz w:val="22"/>
          <w:szCs w:val="22"/>
        </w:rPr>
        <w:t xml:space="preserve">Craddock, T. J. A., </w:t>
      </w:r>
      <w:r>
        <w:rPr>
          <w:rFonts w:ascii="Georgia" w:cs="Georgia" w:eastAsia="Georgia" w:hAnsi="Georgia"/>
          <w:i/>
          <w:iCs/>
          <w:color w:val="111111"/>
          <w:sz w:val="22"/>
          <w:szCs w:val="22"/>
        </w:rPr>
        <w:t xml:space="preserve">et al.</w:t>
      </w:r>
      <w:r>
        <w:rPr>
          <w:rFonts w:ascii="Georgia" w:cs="Georgia" w:eastAsia="Georgia" w:hAnsi="Georgia"/>
          <w:color w:val="111111"/>
          <w:sz w:val="22"/>
          <w:szCs w:val="22"/>
        </w:rPr>
        <w:t xml:space="preserve"> (2014). The zinc dysregulation hypothesis of Alzheimer’s disease and a role for excitonic conduction in microtubules. </w:t>
      </w:r>
      <w:r>
        <w:rPr>
          <w:rFonts w:ascii="Georgia" w:cs="Georgia" w:eastAsia="Georgia" w:hAnsi="Georgia"/>
          <w:i/>
          <w:iCs/>
          <w:color w:val="111111"/>
          <w:sz w:val="22"/>
          <w:szCs w:val="22"/>
        </w:rPr>
        <w:t xml:space="preserve">PLOS ONE.</w:t>
      </w:r>
      <w:r>
        <w:rPr>
          <w:rFonts w:ascii="Georgia" w:cs="Georgia" w:eastAsia="Georgia" w:hAnsi="Georgia"/>
          <w:color w:val="111111"/>
          <w:sz w:val="22"/>
          <w:szCs w:val="22"/>
        </w:rPr>
        <w:t xml:space="preserve"> Specific mechanism for tryptophan-mediated exciton transfer inside tubulin lattices.</w:t>
      </w:r>
    </w:p>
    <w:p>
      <w:pPr>
        <w:pStyle w:val="ListParagraph"/>
        <w:numPr>
          <w:ilvl w:val="0"/>
          <w:numId w:val="2"/>
        </w:numPr>
        <w:spacing w:after="100" w:line="300"/>
      </w:pPr>
      <w:r>
        <w:rPr>
          <w:rFonts w:ascii="Georgia" w:cs="Georgia" w:eastAsia="Georgia" w:hAnsi="Georgia"/>
          <w:color w:val="111111"/>
          <w:sz w:val="22"/>
          <w:szCs w:val="22"/>
        </w:rPr>
        <w:t xml:space="preserve">Hyman, A. A., Weber, C. A., &amp; Jülicher, F. (2014). Liquid-liquid phase separation in biology. </w:t>
      </w:r>
      <w:r>
        <w:rPr>
          <w:rFonts w:ascii="Georgia" w:cs="Georgia" w:eastAsia="Georgia" w:hAnsi="Georgia"/>
          <w:i/>
          <w:iCs/>
          <w:color w:val="111111"/>
          <w:sz w:val="22"/>
          <w:szCs w:val="22"/>
        </w:rPr>
        <w:t xml:space="preserve">Annual Review of Cell and Developmental Biology,</w:t>
      </w:r>
      <w:r>
        <w:rPr>
          <w:rFonts w:ascii="Georgia" w:cs="Georgia" w:eastAsia="Georgia" w:hAnsi="Georgia"/>
          <w:color w:val="111111"/>
          <w:sz w:val="22"/>
          <w:szCs w:val="22"/>
        </w:rPr>
        <w:t xml:space="preserve"> 30, 39–58. Foundational review for the LLPS material in Section VI.</w:t>
      </w:r>
    </w:p>
    <w:p>
      <w:pPr>
        <w:pStyle w:val="ListParagraph"/>
        <w:numPr>
          <w:ilvl w:val="0"/>
          <w:numId w:val="2"/>
        </w:numPr>
        <w:spacing w:after="100" w:line="300"/>
      </w:pPr>
      <w:r>
        <w:rPr>
          <w:rFonts w:ascii="Georgia" w:cs="Georgia" w:eastAsia="Georgia" w:hAnsi="Georgia"/>
          <w:color w:val="111111"/>
          <w:sz w:val="22"/>
          <w:szCs w:val="22"/>
        </w:rPr>
        <w:t xml:space="preserve">Fisher, M. P. A. (2015). Quantum cognition: the possibility of processing with nuclear spins in the brain. </w:t>
      </w:r>
      <w:r>
        <w:rPr>
          <w:rFonts w:ascii="Georgia" w:cs="Georgia" w:eastAsia="Georgia" w:hAnsi="Georgia"/>
          <w:i/>
          <w:iCs/>
          <w:color w:val="111111"/>
          <w:sz w:val="22"/>
          <w:szCs w:val="22"/>
        </w:rPr>
        <w:t xml:space="preserve">Annals of Physics,</w:t>
      </w:r>
      <w:r>
        <w:rPr>
          <w:rFonts w:ascii="Georgia" w:cs="Georgia" w:eastAsia="Georgia" w:hAnsi="Georgia"/>
          <w:color w:val="111111"/>
          <w:sz w:val="22"/>
          <w:szCs w:val="22"/>
        </w:rPr>
        <w:t xml:space="preserve"> 362, 593–602. Source for the Posner-molecule / phosphorus-spin proposal in Section VI.</w:t>
      </w:r>
    </w:p>
    <w:p>
      <w:pPr>
        <w:pStyle w:val="ListParagraph"/>
        <w:numPr>
          <w:ilvl w:val="0"/>
          <w:numId w:val="2"/>
        </w:numPr>
        <w:spacing w:after="100" w:line="300"/>
      </w:pPr>
      <w:r>
        <w:rPr>
          <w:rFonts w:ascii="Georgia" w:cs="Georgia" w:eastAsia="Georgia" w:hAnsi="Georgia"/>
          <w:color w:val="111111"/>
          <w:sz w:val="22"/>
          <w:szCs w:val="22"/>
        </w:rPr>
        <w:t xml:space="preserve">Hameroff, S., &amp; Penrose, R. (2014). Consciousness in the universe: a review of the “Orch OR” theory. </w:t>
      </w:r>
      <w:r>
        <w:rPr>
          <w:rFonts w:ascii="Georgia" w:cs="Georgia" w:eastAsia="Georgia" w:hAnsi="Georgia"/>
          <w:i/>
          <w:iCs/>
          <w:color w:val="111111"/>
          <w:sz w:val="22"/>
          <w:szCs w:val="22"/>
        </w:rPr>
        <w:t xml:space="preserve">Physics of Life Reviews,</w:t>
      </w:r>
      <w:r>
        <w:rPr>
          <w:rFonts w:ascii="Georgia" w:cs="Georgia" w:eastAsia="Georgia" w:hAnsi="Georgia"/>
          <w:color w:val="111111"/>
          <w:sz w:val="22"/>
          <w:szCs w:val="22"/>
        </w:rPr>
        <w:t xml:space="preserve"> 11(1), 39–78. The framework whose weak reading is used in Section VII.</w:t>
      </w:r>
    </w:p>
    <w:p>
      <w:pPr>
        <w:pStyle w:val="Heading1"/>
        <w:pageBreakBefore/>
        <w:spacing w:after="120"/>
      </w:pPr>
      <w:r>
        <w:rPr>
          <w:rFonts w:ascii="Georgia" w:cs="Georgia" w:eastAsia="Georgia" w:hAnsi="Georgia"/>
          <w:b/>
          <w:bCs/>
          <w:sz w:val="34"/>
          <w:szCs w:val="34"/>
        </w:rPr>
        <w:t xml:space="preserve">Chapter 5 — Local Measurement</w:t>
      </w:r>
    </w:p>
    <w:p>
      <w:pPr>
        <w:spacing w:after="320"/>
      </w:pPr>
      <w:r>
        <w:rPr>
          <w:rFonts w:ascii="Georgia" w:cs="Georgia" w:eastAsia="Georgia" w:hAnsi="Georgia"/>
          <w:i/>
          <w:iCs/>
          <w:color w:val="444444"/>
          <w:sz w:val="24"/>
          <w:szCs w:val="24"/>
        </w:rPr>
        <w:t xml:space="preserve">Six Ordinary Acres as Data</w:t>
      </w:r>
    </w:p>
    <w:p>
      <w:pPr>
        <w:spacing w:after="200" w:before="160" w:line="300"/>
        <w:ind w:left="720" w:right="480"/>
      </w:pPr>
      <w:r>
        <w:rPr>
          <w:rFonts w:ascii="Georgia" w:cs="Georgia" w:eastAsia="Georgia" w:hAnsi="Georgia"/>
          <w:i/>
          <w:iCs/>
          <w:color w:val="333333"/>
          <w:sz w:val="21"/>
          <w:szCs w:val="21"/>
        </w:rPr>
        <w:t xml:space="preserve">A frequency is leaving the field. Juneau, the older studio dog, is preparing to dissolve back into the continuous ground from which his form was borrowed. The six ordinary acres near Nashville read the departure the way any coherent system reads a phase change — quietly, precisely, and without consent.</w:t>
      </w:r>
    </w:p>
    <w:p>
      <w:pPr>
        <w:spacing w:after="160" w:line="300"/>
      </w:pPr>
      <w:r>
        <w:rPr>
          <w:rFonts w:ascii="Georgia" w:cs="Georgia" w:eastAsia="Georgia" w:hAnsi="Georgia"/>
          <w:color w:val="111111"/>
          <w:sz w:val="22"/>
          <w:szCs w:val="22"/>
        </w:rPr>
        <w:t xml:space="preserve">This chapter begins with that departure, because the departure is the measurement. A standing wave releasing its form is not the failure of the local laboratory. It is the laboratory reporting its most honest reading of the field it stands inside.</w:t>
      </w:r>
    </w:p>
    <w:p>
      <w:pPr>
        <w:pStyle w:val="Heading2"/>
        <w:keepNext/>
        <w:spacing w:after="160" w:before="320"/>
      </w:pPr>
      <w:r>
        <w:rPr>
          <w:rFonts w:ascii="Georgia" w:cs="Georgia" w:eastAsia="Georgia" w:hAnsi="Georgia"/>
          <w:b/>
          <w:bCs/>
          <w:color w:val="111111"/>
          <w:sz w:val="26"/>
          <w:szCs w:val="26"/>
        </w:rPr>
        <w:t xml:space="preserve">I. A Frequency Leaves the Field</w:t>
      </w:r>
    </w:p>
    <w:p>
      <w:pPr>
        <w:spacing w:after="160" w:line="300"/>
      </w:pPr>
      <w:r>
        <w:rPr>
          <w:rFonts w:ascii="Georgia" w:cs="Georgia" w:eastAsia="Georgia" w:hAnsi="Georgia"/>
          <w:color w:val="111111"/>
          <w:sz w:val="22"/>
          <w:szCs w:val="22"/>
        </w:rPr>
        <w:t xml:space="preserve">Juneau is the older of the two studio dogs. His liver carries a cancer that has moved beyond the reach of intervention. He does not know he is dying in the way a human knows. He knows the porch, the river path, the shape of the family, and the low steady frequency he has held on this ground for years. That frequency is beginning to detune. The observer can feel it before any instrument would.</w:t>
      </w:r>
    </w:p>
    <w:p>
      <w:pPr>
        <w:spacing w:after="160" w:line="300"/>
      </w:pPr>
      <w:r>
        <w:rPr>
          <w:rFonts w:ascii="Georgia" w:cs="Georgia" w:eastAsia="Georgia" w:hAnsi="Georgia"/>
          <w:color w:val="111111"/>
          <w:sz w:val="22"/>
          <w:szCs w:val="22"/>
        </w:rPr>
        <w:t xml:space="preserve">The temptation is to describe this in mythic language, and the discipline of this chapter is to refuse. The ground is ordinary. The dog is ordinary. What is happening is what happens to every coherent biological structure eventually — the standing wave that held his form is releasing its tension back into the surrounding field. The chapters before this one built the vocabulary for that release: tensegrity, torsion, phase, aperture. The vocabulary is not being applied to Juneau after the fact. Juneau is what the vocabulary was always describing.</w:t>
      </w:r>
    </w:p>
    <w:p>
      <w:pPr>
        <w:spacing w:after="160" w:line="300"/>
      </w:pPr>
      <w:r>
        <w:rPr>
          <w:rFonts w:ascii="Georgia" w:cs="Georgia" w:eastAsia="Georgia" w:hAnsi="Georgia"/>
          <w:color w:val="111111"/>
          <w:sz w:val="22"/>
          <w:szCs w:val="22"/>
        </w:rPr>
        <w:t xml:space="preserve">A patch of six suburban acres is enough ground to see this. There is a restored old home, a recording studio, a family, musicians who come and go, and a small river at the edge of the property. The land is not pristine, not sacred, and not exceptional in any way that would show up on a map. That is why it is useful. If the thesis of this book is correct — that living tissue, conscious attention, and local environment are all readings of the same coherent field — then the ordinary ground should be enough to see both the arrival of coherence and its departure. Both are happening here, at the same time, in July 2026.</w:t>
      </w:r>
    </w:p>
    <w:p>
      <w:pPr>
        <w:pStyle w:val="Heading2"/>
        <w:keepNext/>
        <w:spacing w:after="160" w:before="320"/>
      </w:pPr>
      <w:r>
        <w:rPr>
          <w:rFonts w:ascii="Georgia" w:cs="Georgia" w:eastAsia="Georgia" w:hAnsi="Georgia"/>
          <w:b/>
          <w:bCs/>
          <w:color w:val="111111"/>
          <w:sz w:val="26"/>
          <w:szCs w:val="26"/>
        </w:rPr>
        <w:t xml:space="preserve">II. The Osprey Counterpoint</w:t>
      </w:r>
    </w:p>
    <w:p>
      <w:pPr>
        <w:spacing w:after="160" w:line="300"/>
      </w:pPr>
      <w:r>
        <w:rPr>
          <w:rFonts w:ascii="Georgia" w:cs="Georgia" w:eastAsia="Georgia" w:hAnsi="Georgia"/>
          <w:color w:val="111111"/>
          <w:sz w:val="22"/>
          <w:szCs w:val="22"/>
        </w:rPr>
        <w:t xml:space="preserve">While Juneau’s frequency is leaving, another frequency is arriving. Osprey nestlings have begun moving across the property. They perch in the river birches planted out front, settle on the roof and fences, trace the riverbank, and call to one another with sharp, high cries. Their behavior is not a consolation for the dog’s decline. It is a second readout of the same field, taken at the same time from the same ground.</w:t>
      </w:r>
    </w:p>
    <w:p>
      <w:pPr>
        <w:pStyle w:val="Heading2"/>
        <w:keepNext/>
        <w:spacing w:after="160" w:before="320"/>
      </w:pPr>
      <w:r>
        <w:rPr>
          <w:rFonts w:ascii="Georgia" w:cs="Georgia" w:eastAsia="Georgia" w:hAnsi="Georgia"/>
          <w:b/>
          <w:bCs/>
          <w:color w:val="111111"/>
          <w:sz w:val="26"/>
          <w:szCs w:val="26"/>
        </w:rPr>
        <w:t xml:space="preserve">II. The Osprey Readout</w:t>
      </w:r>
    </w:p>
    <w:p>
      <w:pPr>
        <w:spacing w:after="160" w:line="300"/>
      </w:pPr>
      <w:r>
        <w:rPr>
          <w:rFonts w:ascii="Georgia" w:cs="Georgia" w:eastAsia="Georgia" w:hAnsi="Georgia"/>
          <w:color w:val="111111"/>
          <w:sz w:val="22"/>
          <w:szCs w:val="22"/>
        </w:rPr>
        <w:t xml:space="preserve">An osprey is not a symbol. It is a predator, a fish-eagle, a body built from roughly two pounds of bone, blood, feather, and brain that has to stay coherent in a fluid medium it cannot control. The nestling has to solve, in real time, the same problem this book has been describing: how to hold a stable internal architecture against a field that is always moving.</w:t>
      </w:r>
    </w:p>
    <w:p>
      <w:pPr>
        <w:spacing w:after="160" w:line="300"/>
      </w:pPr>
      <w:r>
        <w:rPr>
          <w:rFonts w:ascii="Georgia" w:cs="Georgia" w:eastAsia="Georgia" w:hAnsi="Georgia"/>
          <w:color w:val="111111"/>
          <w:sz w:val="22"/>
          <w:szCs w:val="22"/>
        </w:rPr>
        <w:t xml:space="preserve">Watch a young osprey take wing. The body does not fight the air. It finds the air’s own structure — thermals, eddies, pressure gradients — and rides them. The wings adjust continuously: aileron, rudder, elevator, all computed in a brain the size of a walnut without any conscious mathematics. The bird is not calculating fluid dynamics. It is</w:t>
      </w:r>
      <w:r>
        <w:rPr>
          <w:rFonts w:ascii="Georgia" w:cs="Georgia" w:eastAsia="Georgia" w:hAnsi="Georgia"/>
          <w:i/>
          <w:iCs/>
          <w:color w:val="111111"/>
          <w:sz w:val="22"/>
          <w:szCs w:val="22"/>
        </w:rPr>
        <w:t xml:space="preserve"> matching</w:t>
      </w:r>
      <w:r>
        <w:rPr>
          <w:rFonts w:ascii="Georgia" w:cs="Georgia" w:eastAsia="Georgia" w:hAnsi="Georgia"/>
          <w:color w:val="111111"/>
          <w:sz w:val="22"/>
          <w:szCs w:val="22"/>
        </w:rPr>
        <w:t xml:space="preserve"> its internal state to the resonant frequencies of the medium. That matching is the biological signature of the ridge.</w:t>
      </w:r>
    </w:p>
    <w:p>
      <w:pPr>
        <w:spacing w:after="160" w:line="300"/>
      </w:pPr>
      <w:r>
        <w:rPr>
          <w:rFonts w:ascii="Georgia" w:cs="Georgia" w:eastAsia="Georgia" w:hAnsi="Georgia"/>
          <w:color w:val="111111"/>
          <w:sz w:val="22"/>
          <w:szCs w:val="22"/>
        </w:rPr>
        <w:t xml:space="preserve">From the perspective developed in Chapter 4, the osprey is a mobile tubulin aperture. Its cytoskeleton, its vestibular system, its visual cortex, and its wing loading all have to maintain phase coherence long enough to turn intention into flight. The young bird has less margin for error than an adult. Every failed landing, every overshot branch, every awkward stall is a temporary loss of coherence — and every recovery is evidence that the underlying architecture can find the ridge again.</w:t>
      </w:r>
    </w:p>
    <w:p>
      <w:pPr>
        <w:pStyle w:val="Heading2"/>
        <w:keepNext/>
        <w:spacing w:after="160" w:before="320"/>
      </w:pPr>
      <w:r>
        <w:rPr>
          <w:rFonts w:ascii="Georgia" w:cs="Georgia" w:eastAsia="Georgia" w:hAnsi="Georgia"/>
          <w:b/>
          <w:bCs/>
          <w:color w:val="111111"/>
          <w:sz w:val="26"/>
          <w:szCs w:val="26"/>
        </w:rPr>
        <w:t xml:space="preserve">III. Upwelling on Six Acres</w:t>
      </w:r>
    </w:p>
    <w:p>
      <w:pPr>
        <w:spacing w:after="160" w:line="300"/>
      </w:pPr>
      <w:r>
        <w:rPr>
          <w:rFonts w:ascii="Georgia" w:cs="Georgia" w:eastAsia="Georgia" w:hAnsi="Georgia"/>
          <w:color w:val="111111"/>
          <w:sz w:val="22"/>
          <w:szCs w:val="22"/>
        </w:rPr>
        <w:t xml:space="preserve">Chapter 1 described the primes as an upwelling: pressure releases where the compressed substrate breaks back through the surface of ordinary arithmetic. The image was deliberately fluid — vortices, slipstreams, density spikes. The ospreys on these six acres are the biological counterpart of that image.</w:t>
      </w:r>
    </w:p>
    <w:p>
      <w:pPr>
        <w:spacing w:after="160" w:line="300"/>
      </w:pPr>
      <w:r>
        <w:rPr>
          <w:rFonts w:ascii="Georgia" w:cs="Georgia" w:eastAsia="Georgia" w:hAnsi="Georgia"/>
          <w:color w:val="111111"/>
          <w:sz w:val="22"/>
          <w:szCs w:val="22"/>
        </w:rPr>
        <w:t xml:space="preserve">They arrive as organized matter in a landscape that has been renewing itself. The river birches were planted; the riverbank has been changing; insects, fish, and weather have been doing their own work. Out of that ordinary field, a pair of ospreys produced young, and those young are now exploring the territory. The emergence of a sharp, predatory precision from the general background is not a miracle in the supernatural sense. It is an upwelling: the local field has produced a coherent structure because the conditions allowed it.</w:t>
      </w:r>
    </w:p>
    <w:p>
      <w:pPr>
        <w:spacing w:after="160" w:line="300"/>
      </w:pPr>
      <w:r>
        <w:rPr>
          <w:rFonts w:ascii="Georgia" w:cs="Georgia" w:eastAsia="Georgia" w:hAnsi="Georgia"/>
          <w:color w:val="111111"/>
          <w:sz w:val="22"/>
          <w:szCs w:val="22"/>
        </w:rPr>
        <w:t xml:space="preserve">This is why the property matters to the argument. It is not special ground. It is simply ground where the observer happens to be paying attention. The same upwelling that produces ospreys here produces starlings over parking lots, hawks along interstate corridors, and dragonflies above any pond with enough insects. The ridge is not localized. The observer is.</w:t>
      </w:r>
    </w:p>
    <w:p>
      <w:pPr>
        <w:pStyle w:val="Heading2"/>
        <w:keepNext/>
        <w:spacing w:after="160" w:before="320"/>
      </w:pPr>
      <w:r>
        <w:rPr>
          <w:rFonts w:ascii="Georgia" w:cs="Georgia" w:eastAsia="Georgia" w:hAnsi="Georgia"/>
          <w:b/>
          <w:bCs/>
          <w:color w:val="111111"/>
          <w:sz w:val="26"/>
          <w:szCs w:val="26"/>
        </w:rPr>
        <w:t xml:space="preserve">IV. Calls, Edges, and Superposition</w:t>
      </w:r>
    </w:p>
    <w:p>
      <w:pPr>
        <w:spacing w:after="160" w:line="300"/>
      </w:pPr>
      <w:r>
        <w:rPr>
          <w:rFonts w:ascii="Georgia" w:cs="Georgia" w:eastAsia="Georgia" w:hAnsi="Georgia"/>
          <w:color w:val="111111"/>
          <w:sz w:val="22"/>
          <w:szCs w:val="22"/>
        </w:rPr>
        <w:t xml:space="preserve">The nestlings do not fly in silence. Their calls are sharp, repetitive, and pitched high enough to carry across the open land. To a human ear they sound like complaint or demand. To the argument of this book they are acoustic markers of position and state — a family maintaining coherence through sound.</w:t>
      </w:r>
    </w:p>
    <w:p>
      <w:pPr>
        <w:spacing w:after="160" w:line="300"/>
      </w:pPr>
      <w:r>
        <w:rPr>
          <w:rFonts w:ascii="Georgia" w:cs="Georgia" w:eastAsia="Georgia" w:hAnsi="Georgia"/>
          <w:color w:val="111111"/>
          <w:sz w:val="22"/>
          <w:szCs w:val="22"/>
        </w:rPr>
        <w:t xml:space="preserve">Each call is an edge event. It locates the sender in space, signals hunger or alarm or readiness, and keeps the nestling in contact with parents and siblings. The calls do not carry much information in the Shannon sense, but they carry a great deal of relational information:</w:t>
      </w:r>
      <w:r>
        <w:rPr>
          <w:rFonts w:ascii="Georgia" w:cs="Georgia" w:eastAsia="Georgia" w:hAnsi="Georgia"/>
          <w:i/>
          <w:iCs/>
          <w:color w:val="111111"/>
          <w:sz w:val="22"/>
          <w:szCs w:val="22"/>
        </w:rPr>
        <w:t xml:space="preserve"> I am here, the field is still holding, we are still in phase.</w:t>
      </w:r>
    </w:p>
    <w:p>
      <w:pPr>
        <w:spacing w:after="160" w:line="300"/>
      </w:pPr>
      <w:r>
        <w:rPr>
          <w:rFonts w:ascii="Georgia" w:cs="Georgia" w:eastAsia="Georgia" w:hAnsi="Georgia"/>
          <w:color w:val="111111"/>
          <w:sz w:val="22"/>
          <w:szCs w:val="22"/>
        </w:rPr>
        <w:t xml:space="preserve">The flight itself is even more instructive. A young osprey leaving a branch is not committed to a single trajectory. It is in superposition, in the everyday sense: multiple possible paths are available until the body commits to one. The wings sample the air, the eyes sample the ground, and the nervous system collapses the bundle of possibilities into a single actual path. This is not quantum mechanics performed by a bird. It is the same architectural principle that quantum mechanics formalized: coherence holds multiple possibilities in relation until a measurement — here, a wingbeat, a gust, a decision — selects one.</w:t>
      </w:r>
    </w:p>
    <w:p>
      <w:pPr>
        <w:pStyle w:val="Heading2"/>
        <w:keepNext/>
        <w:spacing w:after="160" w:before="320"/>
      </w:pPr>
      <w:r>
        <w:rPr>
          <w:rFonts w:ascii="Georgia" w:cs="Georgia" w:eastAsia="Georgia" w:hAnsi="Georgia"/>
          <w:b/>
          <w:bCs/>
          <w:color w:val="111111"/>
          <w:sz w:val="26"/>
          <w:szCs w:val="26"/>
        </w:rPr>
        <w:t xml:space="preserve">V. From Local to Ridge</w:t>
      </w:r>
    </w:p>
    <w:p>
      <w:pPr>
        <w:spacing w:after="160" w:line="300"/>
      </w:pPr>
      <w:r>
        <w:rPr>
          <w:rFonts w:ascii="Georgia" w:cs="Georgia" w:eastAsia="Georgia" w:hAnsi="Georgia"/>
          <w:color w:val="111111"/>
          <w:sz w:val="22"/>
          <w:szCs w:val="22"/>
        </w:rPr>
        <w:t xml:space="preserve">The six acres cannot prove the Riemann Hypothesis. They can, however, make the hypothesis less abstract. If the critical line is the stable standing wave where net torsion vanishes, then every coherent structure in the local field is a small demonstration of the same principle. The osprey does not know about Riemann. The osprey does not need to. It only needs to stay on the ridge long enough to eat, grow, and breed.</w:t>
      </w:r>
    </w:p>
    <w:p>
      <w:pPr>
        <w:spacing w:after="160" w:line="300"/>
      </w:pPr>
      <w:r>
        <w:rPr>
          <w:rFonts w:ascii="Georgia" w:cs="Georgia" w:eastAsia="Georgia" w:hAnsi="Georgia"/>
          <w:color w:val="111111"/>
          <w:sz w:val="22"/>
          <w:szCs w:val="22"/>
        </w:rPr>
        <w:t xml:space="preserve">This is the experimental posture the book proposes. Start with the mathematics, because the mathematics sets the vocabulary. Then look for the same vocabulary in the local field. The mathematics predicts that coherence will be selected; the local field confirms that coherence is selected, over and over, in bodies that have no access to the proof.</w:t>
      </w:r>
    </w:p>
    <w:p>
      <w:pPr>
        <w:spacing w:after="160" w:line="300"/>
      </w:pPr>
      <w:r>
        <w:rPr>
          <w:rFonts w:ascii="Georgia" w:cs="Georgia" w:eastAsia="Georgia" w:hAnsi="Georgia"/>
          <w:color w:val="111111"/>
          <w:sz w:val="22"/>
          <w:szCs w:val="22"/>
        </w:rPr>
        <w:t xml:space="preserve">The discipline is to keep the observation ordinary. The property is not a sanctuary. The ospreys are not messengers. They are simply animals doing what animals do, in a place where a human observer is awake enough to notice. That wakefulness is itself part of the measurement. Attention is one of the field’s readouts.</w:t>
      </w:r>
    </w:p>
    <w:p>
      <w:pPr>
        <w:spacing w:after="160" w:line="300"/>
      </w:pPr>
      <w:r>
        <w:rPr>
          <w:rFonts w:ascii="Georgia" w:cs="Georgia" w:eastAsia="Georgia" w:hAnsi="Georgia"/>
          <w:color w:val="111111"/>
          <w:sz w:val="22"/>
          <w:szCs w:val="22"/>
        </w:rPr>
        <w:t xml:space="preserve">Field Note · Six Ordinary Acres, July 2026</w:t>
      </w:r>
    </w:p>
    <w:p>
      <w:pPr>
        <w:spacing w:after="160" w:line="300"/>
      </w:pPr>
      <w:r>
        <w:rPr>
          <w:rFonts w:ascii="Georgia" w:cs="Georgia" w:eastAsia="Georgia" w:hAnsi="Georgia"/>
          <w:color w:val="111111"/>
          <w:sz w:val="22"/>
          <w:szCs w:val="22"/>
        </w:rPr>
        <w:t xml:space="preserve">To understand the human environment before it is flattened into institutional grids and policies, one must look at the immediate, living ecosystem. The six acres are currently alive with a transition that is both triumphant and deeply tinged with grief. Overhead, osprey nestlings test their wings against the planetary field, perching on fences and roofs, their joyous cries echoing a successful alignment with the environment’s natural harmonics. Beneath them, resting on the renewing land by the river, Juneau’s stoic physical frame prepares to dissolve back into the continuous field from which it emerged.</w:t>
      </w:r>
    </w:p>
    <w:p>
      <w:pPr>
        <w:spacing w:after="160" w:line="300"/>
      </w:pPr>
      <w:r>
        <w:rPr>
          <w:rFonts w:ascii="Georgia" w:cs="Georgia" w:eastAsia="Georgia" w:hAnsi="Georgia"/>
          <w:color w:val="111111"/>
          <w:sz w:val="22"/>
          <w:szCs w:val="22"/>
        </w:rPr>
        <w:t xml:space="preserve">The cancer navigating his system is a reminder of the immense physical friction encountered within the modern anthropogenic technosphere. His departure, set against the backdrop of the ospreys taking wing, reveals that survival-driven evolution is not a heartless mechanical sorting, but a deeply compassionate reformatting — a process where the old guard holds the perimeter until the new frequency can fully stabilize. The ospreys do not know this, and the acres do not mourn; but the observer does. Joy and grief are not opposites here. They are two readings from the same ordinary ground.</w:t>
      </w:r>
    </w:p>
    <w:p>
      <w:pPr>
        <w:spacing w:after="160" w:line="300"/>
      </w:pPr>
      <w:r>
        <w:rPr>
          <w:rFonts w:ascii="Georgia" w:cs="Georgia" w:eastAsia="Georgia" w:hAnsi="Georgia"/>
          <w:color w:val="111111"/>
          <w:sz w:val="22"/>
          <w:szCs w:val="22"/>
        </w:rPr>
        <w:t xml:space="preserve">We pass through grief the way any coherent system passes through a perturbation: shock, questioning, bargaining, the attempt to renegotiate the field. Resolution is not a return to the old equilibrium — that equilibrium is gone. It is the active acceptance of the new weight, the willingness to listen until the listener becomes part of the resonant frequency the universe is already holding. The ospreys' joy and Juneau's leaving are not separate events that must be balanced in the mind. They are two modulations of one continuous tone. Grief does not resolve when the sadness stops. It resolves when the observer stops trying to outrun it and begins to hum along.</w:t>
      </w:r>
    </w:p>
    <w:p>
      <w:pPr>
        <w:spacing w:after="160" w:line="300"/>
      </w:pPr>
      <w:r>
        <w:rPr>
          <w:rFonts w:ascii="Georgia" w:cs="Georgia" w:eastAsia="Georgia" w:hAnsi="Georgia"/>
          <w:color w:val="111111"/>
          <w:sz w:val="22"/>
          <w:szCs w:val="22"/>
        </w:rPr>
        <w:t xml:space="preserve">The observer also wonders. Was it the water, the food, the electromagnetic floor, a chemical we tracked in on our shoes, a frequency we installed to make life more convenient? Something we did or did not do? The question is not a surrender to guilt. It is the local version of the same question this book asks at every scale: what field does a living system stand in, and how do we read that field honestly enough to protect what still has time to adapt? The search for a cure and the search for cause are not separate errands. They are the same inquiry, one body at a time.</w:t>
      </w:r>
    </w:p>
    <w:p>
      <w:pPr>
        <w:pStyle w:val="Heading2"/>
        <w:keepNext/>
        <w:spacing w:after="160" w:before="320"/>
      </w:pPr>
      <w:r>
        <w:rPr>
          <w:rFonts w:ascii="Georgia" w:cs="Georgia" w:eastAsia="Georgia" w:hAnsi="Georgia"/>
          <w:b/>
          <w:bCs/>
          <w:color w:val="111111"/>
          <w:sz w:val="26"/>
          <w:szCs w:val="26"/>
        </w:rPr>
        <w:t xml:space="preserve">VI. The Discipline of Ordinary Ground</w:t>
      </w:r>
    </w:p>
    <w:p>
      <w:pPr>
        <w:spacing w:after="160" w:line="300"/>
      </w:pPr>
      <w:r>
        <w:rPr>
          <w:rFonts w:ascii="Georgia" w:cs="Georgia" w:eastAsia="Georgia" w:hAnsi="Georgia"/>
          <w:color w:val="111111"/>
          <w:sz w:val="22"/>
          <w:szCs w:val="22"/>
        </w:rPr>
        <w:t xml:space="preserve">There is a temptation, when writing about coherence, to reach for dramatic landscapes: mountain peaks, ancient forests, untouched wilderness. The temptation should be resisted. Those places are real, but they are not more coherent than a suburban acre with a river, a roof, and a family going about its day. They are only less observed by the people who write books.</w:t>
      </w:r>
    </w:p>
    <w:p>
      <w:pPr>
        <w:spacing w:after="160" w:line="300"/>
      </w:pPr>
      <w:r>
        <w:rPr>
          <w:rFonts w:ascii="Georgia" w:cs="Georgia" w:eastAsia="Georgia" w:hAnsi="Georgia"/>
          <w:color w:val="111111"/>
          <w:sz w:val="22"/>
          <w:szCs w:val="22"/>
        </w:rPr>
        <w:t xml:space="preserve">The six acres near Nashville are the control and the experiment at once. They are ordinary enough to be representative and local enough to be accountable. The ospreys do not need the property to be special. They need it to be sufficient: enough fish in the river, enough height for a nest, enough open air for a young bird to learn the ridge.</w:t>
      </w:r>
    </w:p>
    <w:p>
      <w:pPr>
        <w:spacing w:after="160" w:line="300"/>
      </w:pPr>
      <w:r>
        <w:rPr>
          <w:rFonts w:ascii="Georgia" w:cs="Georgia" w:eastAsia="Georgia" w:hAnsi="Georgia"/>
          <w:color w:val="111111"/>
          <w:sz w:val="22"/>
          <w:szCs w:val="22"/>
        </w:rPr>
        <w:t xml:space="preserve">Chapter 6 will widen the lens to the anthropogenic and cosmic grid — the fields the local ground sits inside. But the local ground comes first. The argument is not credible if it cannot be read in a place the author actually lives. The ospreys are the first signature. They are not the last.</w:t>
      </w:r>
    </w:p>
    <w:p>
      <w:pPr>
        <w:pStyle w:val="Heading1"/>
        <w:pageBreakBefore/>
        <w:spacing w:after="120"/>
      </w:pPr>
      <w:r>
        <w:rPr>
          <w:rFonts w:ascii="Georgia" w:cs="Georgia" w:eastAsia="Georgia" w:hAnsi="Georgia"/>
          <w:b/>
          <w:bCs/>
          <w:sz w:val="34"/>
          <w:szCs w:val="34"/>
        </w:rPr>
        <w:t xml:space="preserve">Chapter 6 — The Code of Light</w:t>
      </w:r>
    </w:p>
    <w:p>
      <w:pPr>
        <w:spacing w:after="320"/>
      </w:pPr>
      <w:r>
        <w:rPr>
          <w:rFonts w:ascii="Georgia" w:cs="Georgia" w:eastAsia="Georgia" w:hAnsi="Georgia"/>
          <w:i/>
          <w:iCs/>
          <w:color w:val="444444"/>
          <w:sz w:val="24"/>
          <w:szCs w:val="24"/>
        </w:rPr>
        <w:t xml:space="preserve">DNA, Health, and the Stair-Stepped Helix</w:t>
      </w:r>
    </w:p>
    <w:p>
      <w:pPr>
        <w:spacing w:after="200" w:before="160" w:line="300"/>
        <w:ind w:left="720" w:right="480"/>
      </w:pPr>
      <w:r>
        <w:rPr>
          <w:rFonts w:ascii="Georgia" w:cs="Georgia" w:eastAsia="Georgia" w:hAnsi="Georgia"/>
          <w:i/>
          <w:iCs/>
          <w:color w:val="333333"/>
          <w:sz w:val="21"/>
          <w:szCs w:val="21"/>
        </w:rPr>
        <w:t xml:space="preserve">DNA is a beautiful geometric molecular living apparatus — startlingly similar, in its stair-stepped uncoiling, to the geometric architecture of light itself. Read it slowly, and the helix stops looking like a tape and starts looking like an instrument.</w:t>
      </w:r>
    </w:p>
    <w:p>
      <w:pPr>
        <w:spacing w:after="160" w:line="300"/>
      </w:pPr>
      <w:r>
        <w:rPr>
          <w:rFonts w:ascii="Georgia" w:cs="Georgia" w:eastAsia="Georgia" w:hAnsi="Georgia"/>
          <w:color w:val="111111"/>
          <w:sz w:val="22"/>
          <w:szCs w:val="22"/>
        </w:rPr>
        <w:t xml:space="preserve">Chapter 5 read six ordinary acres as data. This chapter turns inward one more time before the argument pivots outward to the ambient field. If tubulin is the lattice on which coherence is held (Chapter 4), and the six acres are the ground on which coherence is measured (Chapter 5), then DNA is the archive in which coherence is written — a stair-stepped, uncoiling code of light that a body reads, revises, and, when the field around it shifts, sometimes fails to read cleanly.</w:t>
      </w:r>
    </w:p>
    <w:p>
      <w:pPr>
        <w:spacing w:after="160" w:line="300"/>
      </w:pPr>
      <w:r>
        <w:rPr>
          <w:rFonts w:ascii="Georgia" w:cs="Georgia" w:eastAsia="Georgia" w:hAnsi="Georgia"/>
          <w:color w:val="111111"/>
          <w:sz w:val="22"/>
          <w:szCs w:val="22"/>
        </w:rPr>
        <w:t xml:space="preserve">The chapter is a hinge. It closes the interior arc of the book — substrate, body, aperture, lattice, ground, archive — and opens the exterior one. To make that hinge honest, five logic streams have to be laid down in order, each one a step the reader can stand on before taking the next: </w:t>
      </w:r>
      <w:r>
        <w:rPr>
          <w:rFonts w:ascii="Georgia" w:cs="Georgia" w:eastAsia="Georgia" w:hAnsi="Georgia"/>
          <w:i/>
          <w:iCs/>
          <w:color w:val="111111"/>
          <w:sz w:val="22"/>
          <w:szCs w:val="22"/>
        </w:rPr>
        <w:t xml:space="preserve">primes as chemistry</w:t>
      </w:r>
      <w:r>
        <w:rPr>
          <w:rFonts w:ascii="Georgia" w:cs="Georgia" w:eastAsia="Georgia" w:hAnsi="Georgia"/>
          <w:color w:val="111111"/>
          <w:sz w:val="22"/>
          <w:szCs w:val="22"/>
        </w:rPr>
        <w:t xml:space="preserve">,</w:t>
      </w:r>
      <w:r>
        <w:rPr>
          <w:rFonts w:ascii="Georgia" w:cs="Georgia" w:eastAsia="Georgia" w:hAnsi="Georgia"/>
          <w:i/>
          <w:iCs/>
          <w:color w:val="111111"/>
          <w:sz w:val="22"/>
          <w:szCs w:val="22"/>
        </w:rPr>
        <w:t xml:space="preserve"> spectral kinship</w:t>
      </w:r>
      <w:r>
        <w:rPr>
          <w:rFonts w:ascii="Georgia" w:cs="Georgia" w:eastAsia="Georgia" w:hAnsi="Georgia"/>
          <w:color w:val="111111"/>
          <w:sz w:val="22"/>
          <w:szCs w:val="22"/>
        </w:rPr>
        <w:t xml:space="preserve">, </w:t>
      </w:r>
      <w:r>
        <w:rPr>
          <w:rFonts w:ascii="Georgia" w:cs="Georgia" w:eastAsia="Georgia" w:hAnsi="Georgia"/>
          <w:i/>
          <w:iCs/>
          <w:color w:val="111111"/>
          <w:sz w:val="22"/>
          <w:szCs w:val="22"/>
        </w:rPr>
        <w:t xml:space="preserve">harmonic armor</w:t>
      </w:r>
      <w:r>
        <w:rPr>
          <w:rFonts w:ascii="Georgia" w:cs="Georgia" w:eastAsia="Georgia" w:hAnsi="Georgia"/>
          <w:color w:val="111111"/>
          <w:sz w:val="22"/>
          <w:szCs w:val="22"/>
        </w:rPr>
        <w:t xml:space="preserve">,</w:t>
      </w:r>
      <w:r>
        <w:rPr>
          <w:rFonts w:ascii="Georgia" w:cs="Georgia" w:eastAsia="Georgia" w:hAnsi="Georgia"/>
          <w:i/>
          <w:iCs/>
          <w:color w:val="111111"/>
          <w:sz w:val="22"/>
          <w:szCs w:val="22"/>
        </w:rPr>
        <w:t xml:space="preserve"> the helix as fractal antenna</w:t>
      </w:r>
      <w:r>
        <w:rPr>
          <w:rFonts w:ascii="Georgia" w:cs="Georgia" w:eastAsia="Georgia" w:hAnsi="Georgia"/>
          <w:color w:val="111111"/>
          <w:sz w:val="22"/>
          <w:szCs w:val="22"/>
        </w:rPr>
        <w:t xml:space="preserve">, and</w:t>
      </w:r>
      <w:r>
        <w:rPr>
          <w:rFonts w:ascii="Georgia" w:cs="Georgia" w:eastAsia="Georgia" w:hAnsi="Georgia"/>
          <w:i/>
          <w:iCs/>
          <w:color w:val="111111"/>
          <w:sz w:val="22"/>
          <w:szCs w:val="22"/>
        </w:rPr>
        <w:t xml:space="preserve"> the antenna in a field</w:t>
      </w:r>
      <w:r>
        <w:rPr>
          <w:rFonts w:ascii="Georgia" w:cs="Georgia" w:eastAsia="Georgia" w:hAnsi="Georgia"/>
          <w:color w:val="111111"/>
          <w:sz w:val="22"/>
          <w:szCs w:val="22"/>
        </w:rPr>
        <w:t xml:space="preserve">. Chapter 7 begins the moment the fifth step lands.</w:t>
      </w:r>
    </w:p>
    <w:p>
      <w:pPr>
        <w:pStyle w:val="Heading2"/>
        <w:keepNext/>
        <w:spacing w:after="160" w:before="320"/>
      </w:pPr>
      <w:r>
        <w:rPr>
          <w:rFonts w:ascii="Georgia" w:cs="Georgia" w:eastAsia="Georgia" w:hAnsi="Georgia"/>
          <w:b/>
          <w:bCs/>
          <w:color w:val="111111"/>
          <w:sz w:val="26"/>
          <w:szCs w:val="26"/>
        </w:rPr>
        <w:t xml:space="preserve">I. Primes and Base Pairs — Irreducibles That Compose a Reader</w:t>
      </w:r>
    </w:p>
    <w:p>
      <w:pPr>
        <w:spacing w:after="160" w:line="300"/>
      </w:pPr>
      <w:r>
        <w:rPr>
          <w:rFonts w:ascii="Georgia" w:cs="Georgia" w:eastAsia="Georgia" w:hAnsi="Georgia"/>
          <w:color w:val="111111"/>
          <w:sz w:val="22"/>
          <w:szCs w:val="22"/>
        </w:rPr>
        <w:t xml:space="preserve">The four bases — adenine, thymine, guanine, cytosine — are not arbitrary letters. They are the smallest set that can encode a non-repeating, error-correcting sequence with the redundancy a living reader needs. Two complementary pairs (A–T, G–C) supply the minimum alphabet for a lawful, checkable code: enough variety to carry information, enough constraint to detect when the copy has drifted.</w:t>
      </w:r>
    </w:p>
    <w:p>
      <w:pPr>
        <w:spacing w:after="160" w:line="300"/>
      </w:pPr>
      <w:r>
        <w:rPr>
          <w:rFonts w:ascii="Georgia" w:cs="Georgia" w:eastAsia="Georgia" w:hAnsi="Georgia"/>
          <w:color w:val="111111"/>
          <w:sz w:val="22"/>
          <w:szCs w:val="22"/>
        </w:rPr>
        <w:t xml:space="preserve">Read against Chapter 1, the base pairs sit in the same conceptual slot as the primes. The primes are the irreducible integers out of which every other integer is composed; the bases are the irreducible chemistries out of which every gene is composed. In both cases, an unbounded, orderly complexity is built from a small, discrete kernel. The genome is a prime sequence written in chemistry — and, like the primes, it is neither random nor periodic. It is </w:t>
      </w:r>
      <w:r>
        <w:rPr>
          <w:rFonts w:ascii="Georgia" w:cs="Georgia" w:eastAsia="Georgia" w:hAnsi="Georgia"/>
          <w:i/>
          <w:iCs/>
          <w:color w:val="111111"/>
          <w:sz w:val="22"/>
          <w:szCs w:val="22"/>
        </w:rPr>
        <w:t xml:space="preserve">structured</w:t>
      </w:r>
      <w:r>
        <w:rPr>
          <w:rFonts w:ascii="Georgia" w:cs="Georgia" w:eastAsia="Georgia" w:hAnsi="Georgia"/>
          <w:color w:val="111111"/>
          <w:sz w:val="22"/>
          <w:szCs w:val="22"/>
        </w:rPr>
        <w:t xml:space="preserve">, which is what makes it readable at all.</w:t>
      </w:r>
    </w:p>
    <w:p>
      <w:pPr>
        <w:pStyle w:val="Heading2"/>
        <w:keepNext/>
        <w:spacing w:after="160" w:before="320"/>
      </w:pPr>
      <w:r>
        <w:rPr>
          <w:rFonts w:ascii="Georgia" w:cs="Georgia" w:eastAsia="Georgia" w:hAnsi="Georgia"/>
          <w:b/>
          <w:bCs/>
          <w:color w:val="111111"/>
          <w:sz w:val="26"/>
          <w:szCs w:val="26"/>
        </w:rPr>
        <w:t xml:space="preserve">II. Spectral Kinship — Why the Same Statistics Keep Appearing</w:t>
      </w:r>
    </w:p>
    <w:p>
      <w:pPr>
        <w:spacing w:after="160" w:line="300"/>
      </w:pPr>
      <w:r>
        <w:rPr>
          <w:rFonts w:ascii="Georgia" w:cs="Georgia" w:eastAsia="Georgia" w:hAnsi="Georgia"/>
          <w:color w:val="111111"/>
          <w:sz w:val="22"/>
          <w:szCs w:val="22"/>
        </w:rPr>
        <w:t xml:space="preserve">The Montgomery–Odlyzko observation — that the spacing statistics of the non-trivial Riemann zeros match the spacing statistics of eigenvalues of large random Hermitian matrices[1,2] — is by now textbook. The same statistical fingerprint appears in the energy levels of heavy nuclei[3], in the modes of disordered photonic cavities, and, in a form still under active study, in the base-pair spacing of long stretches of coding DNA[4].</w:t>
      </w:r>
    </w:p>
    <w:p>
      <w:pPr>
        <w:spacing w:after="160" w:line="300"/>
      </w:pPr>
      <w:r>
        <w:rPr>
          <w:rFonts w:ascii="Georgia" w:cs="Georgia" w:eastAsia="Georgia" w:hAnsi="Georgia"/>
          <w:color w:val="111111"/>
          <w:sz w:val="22"/>
          <w:szCs w:val="22"/>
        </w:rPr>
        <w:t xml:space="preserve">The claim here is narrow and deliberate. It is not that DNA</w:t>
      </w:r>
      <w:r>
        <w:rPr>
          <w:rFonts w:ascii="Georgia" w:cs="Georgia" w:eastAsia="Georgia" w:hAnsi="Georgia"/>
          <w:i/>
          <w:iCs/>
          <w:color w:val="111111"/>
          <w:sz w:val="22"/>
          <w:szCs w:val="22"/>
        </w:rPr>
        <w:t xml:space="preserve"> is</w:t>
      </w:r>
      <w:r>
        <w:rPr>
          <w:rFonts w:ascii="Georgia" w:cs="Georgia" w:eastAsia="Georgia" w:hAnsi="Georgia"/>
          <w:color w:val="111111"/>
          <w:sz w:val="22"/>
          <w:szCs w:val="22"/>
        </w:rPr>
        <w:t xml:space="preserve"> the Riemann spectrum. It is that the helix and the substrate share a </w:t>
      </w:r>
      <w:r>
        <w:rPr>
          <w:rFonts w:ascii="Georgia" w:cs="Georgia" w:eastAsia="Georgia" w:hAnsi="Georgia"/>
          <w:i/>
          <w:iCs/>
          <w:color w:val="111111"/>
          <w:sz w:val="22"/>
          <w:szCs w:val="22"/>
        </w:rPr>
        <w:t xml:space="preserve">family</w:t>
      </w:r>
      <w:r>
        <w:rPr>
          <w:rFonts w:ascii="Georgia" w:cs="Georgia" w:eastAsia="Georgia" w:hAnsi="Georgia"/>
          <w:color w:val="111111"/>
          <w:sz w:val="22"/>
          <w:szCs w:val="22"/>
        </w:rPr>
        <w:t xml:space="preserve"> of spectral behaviors: level repulsion, long-range rigidity, and the specific correlation structure that distinguishes an ordered-but-non-periodic system from a merely random one. That kinship is what allows the helix to behave, at all, like a resonant instrument rather than an inert tape. It is why the chapter can go on to speak of modes, armor, and antennas without metaphorical slippage.</w:t>
      </w:r>
    </w:p>
    <w:p>
      <w:pPr>
        <w:pStyle w:val="Heading2"/>
        <w:keepNext/>
        <w:spacing w:after="160" w:before="320"/>
      </w:pPr>
      <w:r>
        <w:rPr>
          <w:rFonts w:ascii="Georgia" w:cs="Georgia" w:eastAsia="Georgia" w:hAnsi="Georgia"/>
          <w:b/>
          <w:bCs/>
          <w:color w:val="111111"/>
          <w:sz w:val="26"/>
          <w:szCs w:val="26"/>
        </w:rPr>
        <w:t xml:space="preserve">III. Harmonic Armor — What Health Actually Protects</w:t>
      </w:r>
    </w:p>
    <w:p>
      <w:pPr>
        <w:spacing w:after="160" w:line="300"/>
      </w:pPr>
      <w:r>
        <w:rPr>
          <w:rFonts w:ascii="Georgia" w:cs="Georgia" w:eastAsia="Georgia" w:hAnsi="Georgia"/>
          <w:color w:val="111111"/>
          <w:sz w:val="22"/>
          <w:szCs w:val="22"/>
        </w:rPr>
        <w:t xml:space="preserve">A well-tuned helix is not fragile. Its winding number, its hydrogen-bond geometry, and the ordered-water shell around it form a kind of harmonic armor: a stable set of resonant modes that resist small perturbations. Base-stacking π-orbitals carry charge along the backbone[5]; the ordered hydration layer damps out thermal noise[6]; the supercoiled topology absorbs mechanical stress without unspooling the reading frame.</w:t>
      </w:r>
    </w:p>
    <w:p>
      <w:pPr>
        <w:spacing w:after="160" w:line="300"/>
      </w:pPr>
      <w:r>
        <w:rPr>
          <w:rFonts w:ascii="Georgia" w:cs="Georgia" w:eastAsia="Georgia" w:hAnsi="Georgia"/>
          <w:color w:val="111111"/>
          <w:sz w:val="22"/>
          <w:szCs w:val="22"/>
        </w:rPr>
        <w:t xml:space="preserve">Health, in this reading, is the maintenance of that armor. Illness — at the level this chapter is describing, before any diagnostic category — is what happens when the armor loses a mode. A persistent load in the ambient field, a chronic xenobiotic exposure, an unrelenting mechanical or informational stressor: any of these can push the helix out of the register that Chapter 4’s lattice was tuned to read. The genome does not need to be mutated for the reading to go wrong. It only needs to be </w:t>
      </w:r>
      <w:r>
        <w:rPr>
          <w:rFonts w:ascii="Georgia" w:cs="Georgia" w:eastAsia="Georgia" w:hAnsi="Georgia"/>
          <w:i/>
          <w:iCs/>
          <w:color w:val="111111"/>
          <w:sz w:val="22"/>
          <w:szCs w:val="22"/>
        </w:rPr>
        <w:t xml:space="preserve">detuned</w:t>
      </w:r>
      <w:r>
        <w:rPr>
          <w:rFonts w:ascii="Georgia" w:cs="Georgia" w:eastAsia="Georgia" w:hAnsi="Georgia"/>
          <w:color w:val="111111"/>
          <w:sz w:val="22"/>
          <w:szCs w:val="22"/>
        </w:rPr>
        <w:t xml:space="preserve">. That distinction is what makes the environmental chapter, next, load-bearing rather than rhetorical.</w:t>
      </w:r>
    </w:p>
    <w:p>
      <w:pPr>
        <w:pStyle w:val="Heading2"/>
        <w:keepNext/>
        <w:spacing w:after="160" w:before="320"/>
      </w:pPr>
      <w:r>
        <w:rPr>
          <w:rFonts w:ascii="Georgia" w:cs="Georgia" w:eastAsia="Georgia" w:hAnsi="Georgia"/>
          <w:b/>
          <w:bCs/>
          <w:color w:val="111111"/>
          <w:sz w:val="26"/>
          <w:szCs w:val="26"/>
        </w:rPr>
        <w:t xml:space="preserve">IV. The Helix as Fractal Antenna — Geometry Doing Physics</w:t>
      </w:r>
    </w:p>
    <w:p>
      <w:pPr>
        <w:spacing w:after="160" w:line="300"/>
      </w:pPr>
      <w:r>
        <w:rPr>
          <w:rFonts w:ascii="Georgia" w:cs="Georgia" w:eastAsia="Georgia" w:hAnsi="Georgia"/>
          <w:color w:val="111111"/>
          <w:sz w:val="22"/>
          <w:szCs w:val="22"/>
        </w:rPr>
        <w:t xml:space="preserve">The helix is not only a store of information. It is a receiver. Its stair-stepped geometry is self-similar across many scales — base pair, turn, loop, chromosome — which is the defining property of a fractal antenna: a structure that couples efficiently to a wide band of frequencies at once. The same geometric principle is used in modern radiofrequency design[7] precisely because it broadens the reception window without enlarging the device.</w:t>
      </w:r>
    </w:p>
    <w:p>
      <w:pPr>
        <w:spacing w:after="160" w:line="300"/>
      </w:pPr>
      <w:r>
        <w:rPr>
          <w:rFonts w:ascii="Georgia" w:cs="Georgia" w:eastAsia="Georgia" w:hAnsi="Georgia"/>
          <w:color w:val="111111"/>
          <w:sz w:val="22"/>
          <w:szCs w:val="22"/>
        </w:rPr>
        <w:t xml:space="preserve">A biological fractal antenna is not a curiosity[8]. It is the mechanism by which the ambient electromagnetic environment can reach into the archive without ever chemically touching a base. The helix reads the field. The lattice of Chapter 4 reads the helix. The body reads the lattice. Coherence, at each step, is a matter of whether the received signal is close enough to the instrument’s tuned modes to be interpreted rather than scattered.</w:t>
      </w:r>
    </w:p>
    <w:p>
      <w:pPr>
        <w:spacing w:after="160" w:line="300"/>
      </w:pPr>
      <w:r>
        <w:rPr>
          <w:rFonts w:ascii="Georgia" w:cs="Georgia" w:eastAsia="Georgia" w:hAnsi="Georgia"/>
          <w:color w:val="111111"/>
          <w:sz w:val="22"/>
          <w:szCs w:val="22"/>
        </w:rPr>
        <w:t xml:space="preserve">This is where the molecule stops behaving like a passive library and starts behaving like a listening organ. It is also where the argument becomes, for the first time in the book, strictly unavoidable in its practical implications: a receiver is defined by what it can and cannot tolerate in its environment.</w:t>
      </w:r>
    </w:p>
    <w:p>
      <w:pPr>
        <w:spacing w:after="160" w:line="300"/>
        <w:jc w:val="center"/>
      </w:pPr>
      <w:r>
        <w:rPr>
          <w:rFonts w:ascii="Georgia" w:cs="Georgia" w:eastAsia="Georgia" w:hAnsi="Georgia"/>
          <w:color w:val="111111"/>
          <w:sz w:val="19"/>
          <w:szCs w:val="19"/>
        </w:rPr>
        <w:t xml:space="preserve">The resonant helix at a glance: a mathematical code (left), a physical breath (right), and a wavefront/backbone comparison (center). The remaining sections walk each panel in turn.</w:t>
      </w:r>
    </w:p>
    <w:p>
      <w:pPr>
        <w:pStyle w:val="Heading2"/>
        <w:keepNext/>
        <w:spacing w:after="160" w:before="320"/>
      </w:pPr>
      <w:r>
        <w:rPr>
          <w:rFonts w:ascii="Georgia" w:cs="Georgia" w:eastAsia="Georgia" w:hAnsi="Georgia"/>
          <w:b/>
          <w:bCs/>
          <w:color w:val="111111"/>
          <w:sz w:val="26"/>
          <w:szCs w:val="26"/>
        </w:rPr>
        <w:t xml:space="preserve">IV½. Topology, Twist, and the Pressure-Relief Valve</w:t>
      </w:r>
    </w:p>
    <w:p>
      <w:pPr>
        <w:spacing w:after="160" w:line="300"/>
      </w:pPr>
      <w:r>
        <w:rPr>
          <w:rFonts w:ascii="Georgia" w:cs="Georgia" w:eastAsia="Georgia" w:hAnsi="Georgia"/>
          <w:color w:val="111111"/>
          <w:sz w:val="22"/>
          <w:szCs w:val="22"/>
        </w:rPr>
        <w:t xml:space="preserve">Before the antenna can be trusted as a physical picture, the topology has to be named. A closed duplex is not free to twist arbitrarily. Its linking number — the integer count of how many times one strand winds around the other — is conserved, and any change in local twist has to be paid for in path coiling: </w:t>
      </w:r>
      <w:r>
        <w:rPr>
          <w:rFonts w:ascii="Georgia" w:cs="Georgia" w:eastAsia="Georgia" w:hAnsi="Georgia"/>
          <w:i/>
          <w:iCs/>
          <w:color w:val="111111"/>
          <w:sz w:val="22"/>
          <w:szCs w:val="22"/>
        </w:rPr>
        <w:t xml:space="preserve">Lk = Tw + Wr</w:t>
      </w:r>
      <w:r>
        <w:rPr>
          <w:rFonts w:ascii="Georgia" w:cs="Georgia" w:eastAsia="Georgia" w:hAnsi="Georgia"/>
          <w:color w:val="111111"/>
          <w:sz w:val="22"/>
          <w:szCs w:val="22"/>
        </w:rPr>
        <w:t xml:space="preserve">[9]. That single identity, the Călugăreanu–White–Fuller theorem, is why replication and transcription cannot proceed without generating supercoils, and why the cell has evolved a dedicated class of enzymes — topoisomerases — that cut, pass, and reseal strands to relieve torsional stress[10].</w:t>
      </w:r>
    </w:p>
    <w:p>
      <w:pPr>
        <w:spacing w:after="160" w:line="300"/>
      </w:pPr>
      <w:r>
        <w:rPr>
          <w:rFonts w:ascii="Georgia" w:cs="Georgia" w:eastAsia="Georgia" w:hAnsi="Georgia"/>
          <w:color w:val="111111"/>
          <w:sz w:val="22"/>
          <w:szCs w:val="22"/>
        </w:rPr>
        <w:t xml:space="preserve">Read biophysically, topoisomerase is a pressure-relief valve. The helix accumulates torsional energy as the polymerase moves along it; the enzyme vents that energy on a controllable schedule, keeping the reading frame intact. A body under a coherent field runs this cycle cleanly. A body under chronic torsional load — mechanical, chemical, electromagnetic — asks the valve to work harder, and eventually the reading itself begins to drift. The environmental chapter that follows is, in part, a chapter about the load on that valve.</w:t>
      </w:r>
    </w:p>
    <w:p>
      <w:pPr>
        <w:pStyle w:val="Heading2"/>
        <w:keepNext/>
        <w:spacing w:after="160" w:before="320"/>
      </w:pPr>
      <w:r>
        <w:rPr>
          <w:rFonts w:ascii="Georgia" w:cs="Georgia" w:eastAsia="Georgia" w:hAnsi="Georgia"/>
          <w:b/>
          <w:bCs/>
          <w:color w:val="111111"/>
          <w:sz w:val="26"/>
          <w:szCs w:val="26"/>
        </w:rPr>
        <w:t xml:space="preserve">IV¾. Structured Light as an Optical Wrench</w:t>
      </w:r>
    </w:p>
    <w:p>
      <w:pPr>
        <w:spacing w:after="160" w:line="300"/>
      </w:pPr>
      <w:r>
        <w:rPr>
          <w:rFonts w:ascii="Georgia" w:cs="Georgia" w:eastAsia="Georgia" w:hAnsi="Georgia"/>
          <w:color w:val="111111"/>
          <w:sz w:val="22"/>
          <w:szCs w:val="22"/>
        </w:rPr>
        <w:t xml:space="preserve">Light is not only a plane wave that passes through matter. In its structured forms — Laguerre–Gaussian modes, vortex beams, twisted wavefronts — it carries orbital angular momentum, and that momentum can be transferred to matter as measurable mechanical torque[11]. Thirty years of optics have made this concrete: OAM light is used as an optical spanner to rotate chiral particles, drive micromachines, and probe nanoscale mechanics without any physical contact[12].</w:t>
      </w:r>
    </w:p>
    <w:p>
      <w:pPr>
        <w:spacing w:after="160" w:line="300"/>
      </w:pPr>
      <w:r>
        <w:rPr>
          <w:rFonts w:ascii="Georgia" w:cs="Georgia" w:eastAsia="Georgia" w:hAnsi="Georgia"/>
          <w:color w:val="111111"/>
          <w:sz w:val="22"/>
          <w:szCs w:val="22"/>
        </w:rPr>
        <w:t xml:space="preserve">A helix is a chiral object with a well-defined pitch. The claim here is deliberately modest: </w:t>
      </w:r>
      <w:r>
        <w:rPr>
          <w:rFonts w:ascii="Georgia" w:cs="Georgia" w:eastAsia="Georgia" w:hAnsi="Georgia"/>
          <w:i/>
          <w:iCs/>
          <w:color w:val="111111"/>
          <w:sz w:val="22"/>
          <w:szCs w:val="22"/>
        </w:rPr>
        <w:t xml:space="preserve">if</w:t>
      </w:r>
      <w:r>
        <w:rPr>
          <w:rFonts w:ascii="Georgia" w:cs="Georgia" w:eastAsia="Georgia" w:hAnsi="Georgia"/>
          <w:color w:val="111111"/>
          <w:sz w:val="22"/>
          <w:szCs w:val="22"/>
        </w:rPr>
        <w:t xml:space="preserve"> structured light is the ambient condition in which biology operates — sunlight is not a scalar bath, and the cellular optical environment is demonstrably rich — then the same physics that turns a chiral bead in a laboratory beam is available, in principle, to twist or unwind a section of duplex without breaking a bond. The image that recurs in this book is the wrench: not a metaphor for force, but a name for a torque that arrives as geometry rather than as chemistry.</w:t>
      </w:r>
    </w:p>
    <w:p>
      <w:pPr>
        <w:pStyle w:val="Heading2"/>
        <w:keepNext/>
        <w:spacing w:after="160" w:before="320"/>
      </w:pPr>
      <w:r>
        <w:rPr>
          <w:rFonts w:ascii="Georgia" w:cs="Georgia" w:eastAsia="Georgia" w:hAnsi="Georgia"/>
          <w:b/>
          <w:bCs/>
          <w:color w:val="111111"/>
          <w:sz w:val="26"/>
          <w:szCs w:val="26"/>
        </w:rPr>
        <w:t xml:space="preserve">IV⅞. Quantum Proton Tunneling — Where Mutations Actually Live</w:t>
      </w:r>
    </w:p>
    <w:p>
      <w:pPr>
        <w:spacing w:after="160" w:line="300"/>
      </w:pPr>
      <w:r>
        <w:rPr>
          <w:rFonts w:ascii="Georgia" w:cs="Georgia" w:eastAsia="Georgia" w:hAnsi="Georgia"/>
          <w:color w:val="111111"/>
          <w:sz w:val="22"/>
          <w:szCs w:val="22"/>
        </w:rPr>
        <w:t xml:space="preserve">Classical mutation is thermal: a base is damaged, a repair enzyme fails, a copy error propagates. That story is real and incomplete. Löwdin proposed, sixty years ago, that the hydrogen protons stabilising each base pair sit in a double-well potential — one well for each tautomer — and that they can tunnel through the barrier between wells with a non-zero probability[13]. When the polymerase arrives while a proton is briefly in the "wrong" well, the base is read as its tautomeric partner, and the mispairing is copied forward. Recent open-quantum-systems modelling of G–C tunneling has shown that this route is not merely thinkable; the rates are within striking distance of observed spontaneous point-mutation frequencies[14].</w:t>
      </w:r>
    </w:p>
    <w:p>
      <w:pPr>
        <w:spacing w:after="160" w:line="300"/>
      </w:pPr>
      <w:r>
        <w:rPr>
          <w:rFonts w:ascii="Georgia" w:cs="Georgia" w:eastAsia="Georgia" w:hAnsi="Georgia"/>
          <w:color w:val="111111"/>
          <w:sz w:val="22"/>
          <w:szCs w:val="22"/>
        </w:rPr>
        <w:t xml:space="preserve">The chapter does not need this mechanism to close its argument, but it changes the tone of what follows. Once mutation is partly a quantum event, the environment’s job is not only to avoid gross damage. It is to preserve the phase conditions — coherence times, thermal register, electromagnetic quiet — under which the tunneling rate stays where evolution calibrated it. A body in a coherent field is a body whose quantum error rate is close to its long-run set point. A body in a detuned field is not.</w:t>
      </w:r>
    </w:p>
    <w:p>
      <w:pPr>
        <w:pStyle w:val="Heading2"/>
        <w:keepNext/>
        <w:spacing w:after="160" w:before="320"/>
      </w:pPr>
      <w:r>
        <w:rPr>
          <w:rFonts w:ascii="Georgia" w:cs="Georgia" w:eastAsia="Georgia" w:hAnsi="Georgia"/>
          <w:b/>
          <w:bCs/>
          <w:color w:val="111111"/>
          <w:sz w:val="26"/>
          <w:szCs w:val="26"/>
        </w:rPr>
        <w:t xml:space="preserve">IV15/16. The Equations Behind the Wrench</w:t>
      </w:r>
    </w:p>
    <w:p>
      <w:pPr>
        <w:spacing w:after="160" w:line="300"/>
      </w:pPr>
      <w:r>
        <w:rPr>
          <w:rFonts w:ascii="Georgia" w:cs="Georgia" w:eastAsia="Georgia" w:hAnsi="Georgia"/>
          <w:color w:val="111111"/>
          <w:sz w:val="22"/>
          <w:szCs w:val="22"/>
        </w:rPr>
        <w:t xml:space="preserve">The two mechanisms above — optical torque and proton tunneling — are worth stating in the compact form the working literature uses, because the geometry of the equations is doing the argument.</w:t>
      </w:r>
    </w:p>
    <w:p>
      <w:pPr>
        <w:spacing w:after="160" w:line="300"/>
      </w:pPr>
      <w:r>
        <w:rPr>
          <w:rFonts w:ascii="Georgia" w:cs="Georgia" w:eastAsia="Georgia" w:hAnsi="Georgia"/>
          <w:b/>
          <w:bCs/>
          <w:color w:val="111111"/>
          <w:sz w:val="22"/>
          <w:szCs w:val="22"/>
        </w:rPr>
        <w:t xml:space="preserve">Orbital angular momentum of light.</w:t>
      </w:r>
      <w:r>
        <w:rPr>
          <w:rFonts w:ascii="Georgia" w:cs="Georgia" w:eastAsia="Georgia" w:hAnsi="Georgia"/>
          <w:color w:val="111111"/>
          <w:sz w:val="22"/>
          <w:szCs w:val="22"/>
        </w:rPr>
        <w:t xml:space="preserve"> A structured beam with helical phase front </w:t>
      </w:r>
      <w:r>
        <w:rPr>
          <w:rFonts w:ascii="Georgia" w:cs="Georgia" w:eastAsia="Georgia" w:hAnsi="Georgia"/>
          <w:i/>
          <w:iCs/>
          <w:color w:val="111111"/>
          <w:sz w:val="22"/>
          <w:szCs w:val="22"/>
        </w:rPr>
        <w:t xml:space="preserve">e</w:t>
      </w:r>
      <w:r>
        <w:rPr>
          <w:rFonts w:ascii="Georgia" w:cs="Georgia" w:eastAsia="Georgia" w:hAnsi="Georgia"/>
          <w:color w:val="111111"/>
          <w:sz w:val="22"/>
          <w:szCs w:val="22"/>
        </w:rPr>
        <w:t xml:space="preserve">[iℓφ] carries an angular momentum per unit energy fixed by the topological charge </w:t>
      </w:r>
      <w:r>
        <w:rPr>
          <w:rFonts w:ascii="Georgia" w:cs="Georgia" w:eastAsia="Georgia" w:hAnsi="Georgia"/>
          <w:i/>
          <w:iCs/>
          <w:color w:val="111111"/>
          <w:sz w:val="22"/>
          <w:szCs w:val="22"/>
        </w:rPr>
        <w:t xml:space="preserve">ℓ</w:t>
      </w:r>
      <w:r>
        <w:rPr>
          <w:rFonts w:ascii="Georgia" w:cs="Georgia" w:eastAsia="Georgia" w:hAnsi="Georgia"/>
          <w:color w:val="111111"/>
          <w:sz w:val="22"/>
          <w:szCs w:val="22"/>
        </w:rPr>
        <w:t xml:space="preserve">:</w:t>
      </w:r>
    </w:p>
    <w:p>
      <w:pPr>
        <w:spacing w:after="160" w:line="300"/>
      </w:pPr>
      <w:r>
        <w:rPr>
          <w:rFonts w:ascii="Georgia" w:cs="Georgia" w:eastAsia="Georgia" w:hAnsi="Georgia"/>
          <w:i/>
          <w:iCs/>
          <w:color w:val="111111"/>
          <w:sz w:val="22"/>
          <w:szCs w:val="22"/>
        </w:rPr>
        <w:t xml:space="preserve">Jz</w:t>
      </w:r>
      <w:r>
        <w:rPr>
          <w:rFonts w:ascii="Georgia" w:cs="Georgia" w:eastAsia="Georgia" w:hAnsi="Georgia"/>
          <w:color w:val="111111"/>
          <w:sz w:val="22"/>
          <w:szCs w:val="22"/>
        </w:rPr>
        <w:t xml:space="preserve"> is the angular momentum along the propagation axis, </w:t>
      </w:r>
      <w:r>
        <w:rPr>
          <w:rFonts w:ascii="Georgia" w:cs="Georgia" w:eastAsia="Georgia" w:hAnsi="Georgia"/>
          <w:i/>
          <w:iCs/>
          <w:color w:val="111111"/>
          <w:sz w:val="22"/>
          <w:szCs w:val="22"/>
        </w:rPr>
        <w:t xml:space="preserve">E</w:t>
      </w:r>
      <w:r>
        <w:rPr>
          <w:rFonts w:ascii="Georgia" w:cs="Georgia" w:eastAsia="Georgia" w:hAnsi="Georgia"/>
          <w:color w:val="111111"/>
          <w:sz w:val="22"/>
          <w:szCs w:val="22"/>
        </w:rPr>
        <w:t xml:space="preserve"> is energy, </w:t>
      </w:r>
      <w:r>
        <w:rPr>
          <w:rFonts w:ascii="Georgia" w:cs="Georgia" w:eastAsia="Georgia" w:hAnsi="Georgia"/>
          <w:i/>
          <w:iCs/>
          <w:color w:val="111111"/>
          <w:sz w:val="22"/>
          <w:szCs w:val="22"/>
        </w:rPr>
        <w:t xml:space="preserve">ω</w:t>
      </w:r>
      <w:r>
        <w:rPr>
          <w:rFonts w:ascii="Georgia" w:cs="Georgia" w:eastAsia="Georgia" w:hAnsi="Georgia"/>
          <w:color w:val="111111"/>
          <w:sz w:val="22"/>
          <w:szCs w:val="22"/>
        </w:rPr>
        <w:t xml:space="preserve"> is the angular frequency. Because </w:t>
      </w:r>
      <w:r>
        <w:rPr>
          <w:rFonts w:ascii="Georgia" w:cs="Georgia" w:eastAsia="Georgia" w:hAnsi="Georgia"/>
          <w:i/>
          <w:iCs/>
          <w:color w:val="111111"/>
          <w:sz w:val="22"/>
          <w:szCs w:val="22"/>
        </w:rPr>
        <w:t xml:space="preserve">ℓ</w:t>
      </w:r>
      <w:r>
        <w:rPr>
          <w:rFonts w:ascii="Georgia" w:cs="Georgia" w:eastAsia="Georgia" w:hAnsi="Georgia"/>
          <w:color w:val="111111"/>
          <w:sz w:val="22"/>
          <w:szCs w:val="22"/>
        </w:rPr>
        <w:t xml:space="preserve"> is an integer, the torque available to a chiral target is quantised, not stochastic[11].</w:t>
      </w:r>
    </w:p>
    <w:p>
      <w:pPr>
        <w:spacing w:after="160" w:line="300"/>
      </w:pPr>
      <w:r>
        <w:rPr>
          <w:rFonts w:ascii="Georgia" w:cs="Georgia" w:eastAsia="Georgia" w:hAnsi="Georgia"/>
          <w:b/>
          <w:bCs/>
          <w:color w:val="111111"/>
          <w:sz w:val="22"/>
          <w:szCs w:val="22"/>
        </w:rPr>
        <w:t xml:space="preserve">Topological accounting of the duplex.</w:t>
      </w:r>
      <w:r>
        <w:rPr>
          <w:rFonts w:ascii="Georgia" w:cs="Georgia" w:eastAsia="Georgia" w:hAnsi="Georgia"/>
          <w:color w:val="111111"/>
          <w:sz w:val="22"/>
          <w:szCs w:val="22"/>
        </w:rPr>
        <w:t xml:space="preserve"> The Călugăreanu–White–Fuller theorem fixes what any wrench — enzymatic, mechanical, or optical — is allowed to do to a closed duplex:</w:t>
      </w:r>
    </w:p>
    <w:p>
      <w:pPr>
        <w:spacing w:after="160" w:line="300"/>
      </w:pPr>
      <w:r>
        <w:rPr>
          <w:rFonts w:ascii="Georgia" w:cs="Georgia" w:eastAsia="Georgia" w:hAnsi="Georgia"/>
          <w:color w:val="111111"/>
          <w:sz w:val="22"/>
          <w:szCs w:val="22"/>
        </w:rPr>
        <w:t xml:space="preserve">Linking number </w:t>
      </w:r>
      <w:r>
        <w:rPr>
          <w:rFonts w:ascii="Georgia" w:cs="Georgia" w:eastAsia="Georgia" w:hAnsi="Georgia"/>
          <w:i/>
          <w:iCs/>
          <w:color w:val="111111"/>
          <w:sz w:val="22"/>
          <w:szCs w:val="22"/>
        </w:rPr>
        <w:t xml:space="preserve">Lk</w:t>
      </w:r>
      <w:r>
        <w:rPr>
          <w:rFonts w:ascii="Georgia" w:cs="Georgia" w:eastAsia="Georgia" w:hAnsi="Georgia"/>
          <w:color w:val="111111"/>
          <w:sz w:val="22"/>
          <w:szCs w:val="22"/>
        </w:rPr>
        <w:t xml:space="preserve"> is a topological invariant of the closed molecule; twist </w:t>
      </w:r>
      <w:r>
        <w:rPr>
          <w:rFonts w:ascii="Georgia" w:cs="Georgia" w:eastAsia="Georgia" w:hAnsi="Georgia"/>
          <w:i/>
          <w:iCs/>
          <w:color w:val="111111"/>
          <w:sz w:val="22"/>
          <w:szCs w:val="22"/>
        </w:rPr>
        <w:t xml:space="preserve">Tw</w:t>
      </w:r>
      <w:r>
        <w:rPr>
          <w:rFonts w:ascii="Georgia" w:cs="Georgia" w:eastAsia="Georgia" w:hAnsi="Georgia"/>
          <w:color w:val="111111"/>
          <w:sz w:val="22"/>
          <w:szCs w:val="22"/>
        </w:rPr>
        <w:t xml:space="preserve"> and writhe </w:t>
      </w:r>
      <w:r>
        <w:rPr>
          <w:rFonts w:ascii="Georgia" w:cs="Georgia" w:eastAsia="Georgia" w:hAnsi="Georgia"/>
          <w:i/>
          <w:iCs/>
          <w:color w:val="111111"/>
          <w:sz w:val="22"/>
          <w:szCs w:val="22"/>
        </w:rPr>
        <w:t xml:space="preserve">Wr</w:t>
      </w:r>
      <w:r>
        <w:rPr>
          <w:rFonts w:ascii="Georgia" w:cs="Georgia" w:eastAsia="Georgia" w:hAnsi="Georgia"/>
          <w:color w:val="111111"/>
          <w:sz w:val="22"/>
          <w:szCs w:val="22"/>
        </w:rPr>
        <w:t xml:space="preserve"> are the two budgets a cell (or a beam) can move energy between[9]. Optical torque acts on </w:t>
      </w:r>
      <w:r>
        <w:rPr>
          <w:rFonts w:ascii="Georgia" w:cs="Georgia" w:eastAsia="Georgia" w:hAnsi="Georgia"/>
          <w:i/>
          <w:iCs/>
          <w:color w:val="111111"/>
          <w:sz w:val="22"/>
          <w:szCs w:val="22"/>
        </w:rPr>
        <w:t xml:space="preserve">Tw</w:t>
      </w:r>
      <w:r>
        <w:rPr>
          <w:rFonts w:ascii="Georgia" w:cs="Georgia" w:eastAsia="Georgia" w:hAnsi="Georgia"/>
          <w:color w:val="111111"/>
          <w:sz w:val="22"/>
          <w:szCs w:val="22"/>
        </w:rPr>
        <w:t xml:space="preserve">; topoisomerases resolve accumulated </w:t>
      </w:r>
      <w:r>
        <w:rPr>
          <w:rFonts w:ascii="Georgia" w:cs="Georgia" w:eastAsia="Georgia" w:hAnsi="Georgia"/>
          <w:i/>
          <w:iCs/>
          <w:color w:val="111111"/>
          <w:sz w:val="22"/>
          <w:szCs w:val="22"/>
        </w:rPr>
        <w:t xml:space="preserve">Wr</w:t>
      </w:r>
      <w:r>
        <w:rPr>
          <w:rFonts w:ascii="Georgia" w:cs="Georgia" w:eastAsia="Georgia" w:hAnsi="Georgia"/>
          <w:color w:val="111111"/>
          <w:sz w:val="22"/>
          <w:szCs w:val="22"/>
        </w:rPr>
        <w:t xml:space="preserve">[10].</w:t>
      </w:r>
    </w:p>
    <w:p>
      <w:pPr>
        <w:spacing w:after="160" w:line="300"/>
      </w:pPr>
      <w:r>
        <w:rPr>
          <w:rFonts w:ascii="Georgia" w:cs="Georgia" w:eastAsia="Georgia" w:hAnsi="Georgia"/>
          <w:b/>
          <w:bCs/>
          <w:color w:val="111111"/>
          <w:sz w:val="22"/>
          <w:szCs w:val="22"/>
        </w:rPr>
        <w:t xml:space="preserve">WKB tunneling across the hydrogen bond.</w:t>
      </w:r>
      <w:r>
        <w:rPr>
          <w:rFonts w:ascii="Georgia" w:cs="Georgia" w:eastAsia="Georgia" w:hAnsi="Georgia"/>
          <w:color w:val="111111"/>
          <w:sz w:val="22"/>
          <w:szCs w:val="22"/>
        </w:rPr>
        <w:t xml:space="preserve"> The probability that a proton crosses the double-well barrier holding a base pair together is, to leading order,</w:t>
      </w:r>
    </w:p>
    <w:p>
      <w:pPr>
        <w:spacing w:after="160" w:line="300"/>
      </w:pPr>
      <w:r>
        <w:rPr>
          <w:rFonts w:ascii="Georgia" w:cs="Georgia" w:eastAsia="Georgia" w:hAnsi="Georgia"/>
          <w:color w:val="111111"/>
          <w:sz w:val="22"/>
          <w:szCs w:val="22"/>
        </w:rPr>
        <w:t xml:space="preserve">integrated across the classically forbidden region between the normal and tautomeric wells. Two features of that integral matter for the argument of this book. First, </w:t>
      </w:r>
      <w:r>
        <w:rPr>
          <w:rFonts w:ascii="Georgia" w:cs="Georgia" w:eastAsia="Georgia" w:hAnsi="Georgia"/>
          <w:i/>
          <w:iCs/>
          <w:color w:val="111111"/>
          <w:sz w:val="22"/>
          <w:szCs w:val="22"/>
        </w:rPr>
        <w:t xml:space="preserve">T</w:t>
      </w:r>
      <w:r>
        <w:rPr>
          <w:rFonts w:ascii="Georgia" w:cs="Georgia" w:eastAsia="Georgia" w:hAnsi="Georgia"/>
          <w:color w:val="111111"/>
          <w:sz w:val="22"/>
          <w:szCs w:val="22"/>
        </w:rPr>
        <w:t xml:space="preserve"> depends exponentially on the barrier width — small changes in the geometry of the hydrogen bond produce large changes in mutation rate. Second, the stability of the whole calculation rests on a positive spectral gap Δ = λ1 − λ0 between the ground state and the first excited eigenvalue. When Δ collapses toward zero, the double well ceases to be a well[13][14].</w:t>
      </w:r>
    </w:p>
    <w:p>
      <w:pPr>
        <w:spacing w:after="160" w:line="300"/>
      </w:pPr>
      <w:r>
        <w:rPr>
          <w:rFonts w:ascii="Georgia" w:cs="Georgia" w:eastAsia="Georgia" w:hAnsi="Georgia"/>
          <w:color w:val="111111"/>
          <w:sz w:val="22"/>
          <w:szCs w:val="22"/>
        </w:rPr>
        <w:t xml:space="preserve">Read together, the three equations say the same thing in three registers: </w:t>
      </w:r>
      <w:r>
        <w:rPr>
          <w:rFonts w:ascii="Georgia" w:cs="Georgia" w:eastAsia="Georgia" w:hAnsi="Georgia"/>
          <w:i/>
          <w:iCs/>
          <w:color w:val="111111"/>
          <w:sz w:val="22"/>
          <w:szCs w:val="22"/>
        </w:rPr>
        <w:t xml:space="preserve">topology</w:t>
      </w:r>
      <w:r>
        <w:rPr>
          <w:rFonts w:ascii="Georgia" w:cs="Georgia" w:eastAsia="Georgia" w:hAnsi="Georgia"/>
          <w:color w:val="111111"/>
          <w:sz w:val="22"/>
          <w:szCs w:val="22"/>
        </w:rPr>
        <w:t xml:space="preserve"> is conserved (Călugăreanu), </w:t>
      </w:r>
      <w:r>
        <w:rPr>
          <w:rFonts w:ascii="Georgia" w:cs="Georgia" w:eastAsia="Georgia" w:hAnsi="Georgia"/>
          <w:i/>
          <w:iCs/>
          <w:color w:val="111111"/>
          <w:sz w:val="22"/>
          <w:szCs w:val="22"/>
        </w:rPr>
        <w:t xml:space="preserve">torque</w:t>
      </w:r>
      <w:r>
        <w:rPr>
          <w:rFonts w:ascii="Georgia" w:cs="Georgia" w:eastAsia="Georgia" w:hAnsi="Georgia"/>
          <w:color w:val="111111"/>
          <w:sz w:val="22"/>
          <w:szCs w:val="22"/>
        </w:rPr>
        <w:t xml:space="preserve"> is quantised (OAM), and </w:t>
      </w:r>
      <w:r>
        <w:rPr>
          <w:rFonts w:ascii="Georgia" w:cs="Georgia" w:eastAsia="Georgia" w:hAnsi="Georgia"/>
          <w:i/>
          <w:iCs/>
          <w:color w:val="111111"/>
          <w:sz w:val="22"/>
          <w:szCs w:val="22"/>
        </w:rPr>
        <w:t xml:space="preserve">tunneling</w:t>
      </w:r>
      <w:r>
        <w:rPr>
          <w:rFonts w:ascii="Georgia" w:cs="Georgia" w:eastAsia="Georgia" w:hAnsi="Georgia"/>
          <w:color w:val="111111"/>
          <w:sz w:val="22"/>
          <w:szCs w:val="22"/>
        </w:rPr>
        <w:t xml:space="preserve"> is exponentially sensitive to geometry (WKB). The helix is the object on which all three act at once.</w:t>
      </w:r>
    </w:p>
    <w:p>
      <w:pPr>
        <w:pStyle w:val="Heading2"/>
        <w:keepNext/>
        <w:spacing w:after="160" w:before="320"/>
      </w:pPr>
      <w:r>
        <w:rPr>
          <w:rFonts w:ascii="Georgia" w:cs="Georgia" w:eastAsia="Georgia" w:hAnsi="Georgia"/>
          <w:b/>
          <w:bCs/>
          <w:color w:val="111111"/>
          <w:sz w:val="26"/>
          <w:szCs w:val="26"/>
        </w:rPr>
        <w:t xml:space="preserve">IV[31/32]. Scales of Operation — One Table, Five Registers</w:t>
      </w:r>
    </w:p>
    <w:p>
      <w:pPr>
        <w:spacing w:after="160" w:line="300"/>
      </w:pPr>
      <w:r>
        <w:rPr>
          <w:rFonts w:ascii="Georgia" w:cs="Georgia" w:eastAsia="Georgia" w:hAnsi="Georgia"/>
          <w:color w:val="111111"/>
          <w:sz w:val="22"/>
          <w:szCs w:val="22"/>
        </w:rPr>
        <w:t xml:space="preserve">The claim of this chapter is that the same physics is running at every scale of the helix's operation, from the proton in the hydrogen bond to the cosmological substrate. The following table is a working map — not a finished ontology — of how the mathematics, mechanism, geometry, and outcome line up across those registers.</w:t>
      </w:r>
    </w:p>
    <w:tbl>
      <w:tblPr>
        <w:tblW w:type="dxa" w:w="9359"/>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1337"/>
        <w:gridCol w:w="1337"/>
        <w:gridCol w:w="1337"/>
        <w:gridCol w:w="1337"/>
        <w:gridCol w:w="1337"/>
      </w:tblGrid>
      <w:tr>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SCALE</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MATHEMATICAL MODEL</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PHYSICAL MECHANISM</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GEOMETRY</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ENERGY DYNAMICS</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OUTCOME</w:t>
            </w:r>
          </w:p>
        </w:tc>
        <w:tc>
          <w:tcPr>
            <w:tcW w:type="dxa" w:w="1337"/>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INFERRED PRINCIPLE</w:t>
            </w:r>
          </w:p>
        </w:tc>
      </w:tr>
      <w:tr>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Subatomic / Quantum</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Riemann ζ non-trivial zeros; WKB approximation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Proton tunneling across hydrogen-bond double wells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Symmetric potential landscapes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Downward torsion wells; biophoton venting of phase friction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Uniform tunneling rate; rare tautomeric mutations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Critical line Re(s)=½ as universal tuning fork</w:t>
            </w:r>
          </w:p>
        </w:tc>
      </w:tr>
      <w:tr>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Molecular (replication)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Prime counting π(x); Riemann random walk bound</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Step-by-step nucleotide bonding by polymerase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Double-helix spacing; linear template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√x-bounded energy budget</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Sequence fidelity; replication stability</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Riemann hypothesis as mathematical armour</w:t>
            </w:r>
          </w:p>
        </w:tc>
      </w:tr>
      <w:tr>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Nanoscale (macromolecular)</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Călugăreanu–White–Fuller: Lk = Tw + Wr</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Torsional shear; supercoiling; plectoneme formation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Möbius / figure-8 solitons; fractal antennas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Compression inhale; topoisomerase exhale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Genomic stability; topological shielding</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Matter as localised standing wave in a fluid substrate</w:t>
            </w:r>
          </w:p>
        </w:tc>
      </w:tr>
      <w:tr>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Macro-physiological</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Fibonacci / golden ratio (21 Å × 34 Å)</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Vagal brake; hydrodynamic pressure capture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Toroidal cardiac fields; helical waveguides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Two-stroke breath cycle across the duplex</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Coherent interference; physiological resilience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Life as a microscopic turbine on the cosmic flow</w:t>
            </w:r>
          </w:p>
        </w:tc>
      </w:tr>
      <w:tr>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Cosmological</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Montgomery–Odlyzko / GUE spectral statistics</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Viscous drag; hydrodynamic cavitation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Cosmic whirlpools; superfluid aether</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Steady-state absorption vs. dissipation</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Mass formation; CMB as ambient thermal signature</w:t>
            </w:r>
          </w:p>
        </w:tc>
        <w:tc>
          <w:tcPr>
            <w:tcW w:type="dxa" w:w="1337"/>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Universe as steady-state superfluid, not expansion from a point</w:t>
            </w:r>
          </w:p>
        </w:tc>
      </w:tr>
    </w:tbl>
    <w:p>
      <w:pPr>
        <w:spacing w:after="120" w:line="300"/>
      </w:pPr>
      <w:r>
        <w:rPr>
          <w:rFonts w:ascii="Georgia" w:cs="Georgia" w:eastAsia="Georgia" w:hAnsi="Georgia"/>
          <w:color w:val="111111"/>
          <w:sz w:val="22"/>
          <w:szCs w:val="22"/>
        </w:rPr>
        <w:t xml:space="preserve"/>
      </w:r>
    </w:p>
    <w:p>
      <w:pPr>
        <w:spacing w:after="160" w:line="300"/>
      </w:pPr>
      <w:r>
        <w:rPr>
          <w:rFonts w:ascii="Georgia" w:cs="Georgia" w:eastAsia="Georgia" w:hAnsi="Georgia"/>
          <w:color w:val="111111"/>
          <w:sz w:val="22"/>
          <w:szCs w:val="22"/>
        </w:rPr>
        <w:t xml:space="preserve">The table is a working scaffold assembled with AI assistance from the Resonant Helix study materials; the cosmological row in particular sits well outside consensus cosmology and is offered as an inferred principle, not a claim.</w:t>
      </w:r>
    </w:p>
    <w:p>
      <w:pPr>
        <w:pStyle w:val="Heading2"/>
        <w:keepNext/>
        <w:spacing w:after="160" w:before="320"/>
      </w:pPr>
      <w:r>
        <w:rPr>
          <w:rFonts w:ascii="Georgia" w:cs="Georgia" w:eastAsia="Georgia" w:hAnsi="Georgia"/>
          <w:b/>
          <w:bCs/>
          <w:color w:val="111111"/>
          <w:sz w:val="26"/>
          <w:szCs w:val="26"/>
        </w:rPr>
        <w:t xml:space="preserve">IV·½. Plates — The Resonant Helix study deck</w:t>
      </w:r>
    </w:p>
    <w:p>
      <w:pPr>
        <w:spacing w:after="160" w:line="300"/>
      </w:pPr>
      <w:r>
        <w:rPr>
          <w:rFonts w:ascii="Georgia" w:cs="Georgia" w:eastAsia="Georgia" w:hAnsi="Georgia"/>
          <w:color w:val="111111"/>
          <w:sz w:val="22"/>
          <w:szCs w:val="22"/>
        </w:rPr>
        <w:t xml:space="preserve">The fifteen plates below are the working illustrations behind this chapter. They were assembled with AI assistance from the Resonant Helix study materials and are offered as a visual scaffold, not as consensus science; wherever a plate reaches past current mainstream framing — steady-state superfluid cosmology, light-as-sound, wave-tuned evolution — read it as a proposed picture the chapter's argument is testing, not a settled result.</w:t>
      </w:r>
    </w:p>
    <w:p>
      <w:pPr>
        <w:spacing w:after="160" w:line="300"/>
        <w:jc w:val="center"/>
      </w:pPr>
      <w:r>
        <w:rPr>
          <w:rFonts w:ascii="Georgia" w:cs="Georgia" w:eastAsia="Georgia" w:hAnsi="Georgia"/>
          <w:color w:val="111111"/>
          <w:sz w:val="19"/>
          <w:szCs w:val="19"/>
        </w:rPr>
        <w:t xml:space="preserve">Plate 1 · The Resonant Helix — title plate. Riemannian number theory, fluid cosmology, and the unified code of light. Life as a localised standing wave.</w:t>
      </w:r>
    </w:p>
    <w:p>
      <w:pPr>
        <w:spacing w:after="160" w:line="300"/>
      </w:pPr>
      <w:r>
        <w:rPr>
          <w:rFonts w:ascii="Georgia" w:cs="Georgia" w:eastAsia="Georgia" w:hAnsi="Georgia"/>
          <w:color w:val="111111"/>
          <w:sz w:val="22"/>
          <w:szCs w:val="22"/>
        </w:rPr>
        <w:t xml:space="preserve">Working materials</w:t>
      </w:r>
    </w:p>
    <w:p>
      <w:pPr>
        <w:spacing w:after="160" w:line="300"/>
      </w:pPr>
      <w:r>
        <w:rPr>
          <w:rFonts w:ascii="Georgia" w:cs="Georgia" w:eastAsia="Georgia" w:hAnsi="Georgia"/>
          <w:color w:val="111111"/>
          <w:sz w:val="22"/>
          <w:szCs w:val="22"/>
        </w:rPr>
        <w:t xml:space="preserve">The full Resonant Helix study deck — the same fifteen plates with the underlying equations and the five-scale table in fuller form — is available as a reference: PDF · PPTX.</w:t>
      </w:r>
    </w:p>
    <w:p>
      <w:pPr>
        <w:pStyle w:val="Heading2"/>
        <w:keepNext/>
        <w:spacing w:after="160" w:before="320"/>
      </w:pPr>
      <w:r>
        <w:rPr>
          <w:rFonts w:ascii="Georgia" w:cs="Georgia" w:eastAsia="Georgia" w:hAnsi="Georgia"/>
          <w:b/>
          <w:bCs/>
          <w:color w:val="111111"/>
          <w:sz w:val="26"/>
          <w:szCs w:val="26"/>
        </w:rPr>
        <w:t xml:space="preserve">V. The Antenna in a Field — Bridge to Chapter 7</w:t>
      </w:r>
    </w:p>
    <w:p>
      <w:pPr>
        <w:spacing w:after="160" w:line="300"/>
      </w:pPr>
      <w:r>
        <w:rPr>
          <w:rFonts w:ascii="Georgia" w:cs="Georgia" w:eastAsia="Georgia" w:hAnsi="Georgia"/>
          <w:color w:val="111111"/>
          <w:sz w:val="22"/>
          <w:szCs w:val="22"/>
        </w:rPr>
        <w:t xml:space="preserve">Everything Chapter 7 will name — the anthropogenic radiofrequency blanket, the heliophysical connection, the xenobiotic load, the spatial geometry of modern indoor living — is a boundary condition on the helix described here. The chapter that follows does not introduce a new physics. It measures the field in which the physics of this chapter is already operating.</w:t>
      </w:r>
    </w:p>
    <w:p>
      <w:pPr>
        <w:spacing w:after="160" w:line="300"/>
      </w:pPr>
      <w:r>
        <w:rPr>
          <w:rFonts w:ascii="Georgia" w:cs="Georgia" w:eastAsia="Georgia" w:hAnsi="Georgia"/>
          <w:color w:val="111111"/>
          <w:sz w:val="22"/>
          <w:szCs w:val="22"/>
        </w:rPr>
        <w:t xml:space="preserve">Two consequences follow, and both are needed before the reader turns the page. First, to read the grid without first understanding the antenna is to read only half the story: the exposures become abstract, and the science of them collapses into either alarm or denial. Second, to read the antenna without eventually facing the grid is to keep the argument private — a beautiful interior model with no purchase on the conditions that actually determine how well any given body reads its own archive.</w:t>
      </w:r>
    </w:p>
    <w:p>
      <w:pPr>
        <w:spacing w:after="160" w:line="300"/>
      </w:pPr>
      <w:r>
        <w:rPr>
          <w:rFonts w:ascii="Georgia" w:cs="Georgia" w:eastAsia="Georgia" w:hAnsi="Georgia"/>
          <w:color w:val="111111"/>
          <w:sz w:val="22"/>
          <w:szCs w:val="22"/>
        </w:rPr>
        <w:t xml:space="preserve">The hinge, then, is this: the helix is a stair-stepped code of light; the light it is asked to read is the ambient field of the next chapter; and the health of the reading is the health of the fit between them. Chapter 7 begins there.</w:t>
      </w:r>
    </w:p>
    <w:p>
      <w:pPr>
        <w:spacing w:after="160" w:line="300"/>
      </w:pPr>
      <w:r>
        <w:rPr>
          <w:rFonts w:ascii="Georgia" w:cs="Georgia" w:eastAsia="Georgia" w:hAnsi="Georgia"/>
          <w:color w:val="111111"/>
          <w:sz w:val="22"/>
          <w:szCs w:val="22"/>
        </w:rPr>
        <w:t xml:space="preserve">Field Note · Six Ordinary Acres</w:t>
      </w:r>
    </w:p>
    <w:p>
      <w:pPr>
        <w:spacing w:after="160" w:line="300"/>
      </w:pPr>
      <w:r>
        <w:rPr>
          <w:rFonts w:ascii="Georgia" w:cs="Georgia" w:eastAsia="Georgia" w:hAnsi="Georgia"/>
          <w:color w:val="111111"/>
          <w:sz w:val="22"/>
          <w:szCs w:val="22"/>
        </w:rPr>
        <w:t xml:space="preserve">The helix is not an abstraction on these acres. It is what the young ospreys inherited from their parents and are now testing against the field — a new antenna tuning itself, call by call, into a landscape that mostly still fits. It is also what Juneau, leaving, is releasing back into the same field: a long-held reading, quietly returned. Between the two, the same observation keeps arriving in different keys: given even a narrow aperture and a workable field, the code keeps finding a way to be read. The next chapter asks what happens when the field narrows faster than the antenna can retune.</w:t>
      </w:r>
    </w:p>
    <w:p>
      <w:pPr>
        <w:pStyle w:val="Heading2"/>
        <w:keepNext/>
        <w:spacing w:after="160" w:before="320"/>
      </w:pPr>
      <w:r>
        <w:rPr>
          <w:rFonts w:ascii="Georgia" w:cs="Georgia" w:eastAsia="Georgia" w:hAnsi="Georgia"/>
          <w:b/>
          <w:bCs/>
          <w:color w:val="111111"/>
          <w:sz w:val="26"/>
          <w:szCs w:val="26"/>
        </w:rPr>
        <w:t xml:space="preserve">References</w:t>
      </w:r>
    </w:p>
    <w:p>
      <w:pPr>
        <w:spacing w:after="100" w:line="280"/>
        <w:ind w:left="560" w:hanging="560"/>
      </w:pPr>
      <w:r>
        <w:rPr>
          <w:rFonts w:ascii="Georgia" w:cs="Georgia" w:eastAsia="Georgia" w:hAnsi="Georgia"/>
          <w:color w:val="111111"/>
          <w:sz w:val="20"/>
          <w:szCs w:val="20"/>
        </w:rPr>
        <w:t xml:space="preserve">[1] Montgomery (1973) Pair correlation of zeros of the zeta function. First conjectured that non-trivial Riemann zeros share spacing statistics with eigenvalues of large random Hermitian matrices — the GUE. Analytic Number Theory, Proc. Symp. Pure Math. 24↗</w:t>
      </w:r>
    </w:p>
    <w:p>
      <w:pPr>
        <w:spacing w:after="100" w:line="280"/>
        <w:ind w:left="560" w:hanging="560"/>
      </w:pPr>
      <w:r>
        <w:rPr>
          <w:rFonts w:ascii="Georgia" w:cs="Georgia" w:eastAsia="Georgia" w:hAnsi="Georgia"/>
          <w:color w:val="111111"/>
          <w:sz w:val="20"/>
          <w:szCs w:val="20"/>
        </w:rPr>
        <w:t xml:space="preserve">[2] Odlyzko (1987) Numerical verification of Montgomery's pair-correlation conjecture on tens of millions of Riemann zeros. Fixed the spectral kinship between the zeta zeros and random-matrix eigenvalues as an empirical fact. Odlyzko, tables and papers on the zeros of ζ(s)↗</w:t>
      </w:r>
    </w:p>
    <w:p>
      <w:pPr>
        <w:spacing w:after="100" w:line="280"/>
        <w:ind w:left="560" w:hanging="560"/>
      </w:pPr>
      <w:r>
        <w:rPr>
          <w:rFonts w:ascii="Georgia" w:cs="Georgia" w:eastAsia="Georgia" w:hAnsi="Georgia"/>
          <w:color w:val="111111"/>
          <w:sz w:val="20"/>
          <w:szCs w:val="20"/>
        </w:rPr>
        <w:t xml:space="preserve">[3] Bohigas, Giannoni &amp; Schmit (1984) Level fluctuations of quantum spectra and the universality of GOE/GUE statistics in chaotic systems, including heavy-nucleus energy levels — the same statistical fingerprint that appears at the Riemann zeros. Phys. Rev. Lett. 52, 1↗</w:t>
      </w:r>
    </w:p>
    <w:p>
      <w:pPr>
        <w:spacing w:after="100" w:line="280"/>
        <w:ind w:left="560" w:hanging="560"/>
      </w:pPr>
      <w:r>
        <w:rPr>
          <w:rFonts w:ascii="Georgia" w:cs="Georgia" w:eastAsia="Georgia" w:hAnsi="Georgia"/>
          <w:color w:val="111111"/>
          <w:sz w:val="20"/>
          <w:szCs w:val="20"/>
        </w:rPr>
        <w:t xml:space="preserve">[4] Peng et al. (1992) Long-range correlations in nucleotide sequences. Showed that DNA base-pair sequences are neither random nor periodic but exhibit structured, long-range statistical order. Nature 356, 168–170↗</w:t>
      </w:r>
    </w:p>
    <w:p>
      <w:pPr>
        <w:spacing w:after="100" w:line="280"/>
        <w:ind w:left="560" w:hanging="560"/>
      </w:pPr>
      <w:r>
        <w:rPr>
          <w:rFonts w:ascii="Georgia" w:cs="Georgia" w:eastAsia="Georgia" w:hAnsi="Georgia"/>
          <w:color w:val="111111"/>
          <w:sz w:val="20"/>
          <w:szCs w:val="20"/>
        </w:rPr>
        <w:t xml:space="preserve">[5] Genereux &amp; Barton (2010) Mechanisms for DNA charge transport. Reviews decades of evidence that π-stacked bases carry charge along the double helix — the physical basis for reading the backbone as a conductor and resonant instrument. Chem. Rev. 110, 1642–1662↗</w:t>
      </w:r>
    </w:p>
    <w:p>
      <w:pPr>
        <w:spacing w:after="100" w:line="280"/>
        <w:ind w:left="560" w:hanging="560"/>
      </w:pPr>
      <w:r>
        <w:rPr>
          <w:rFonts w:ascii="Georgia" w:cs="Georgia" w:eastAsia="Georgia" w:hAnsi="Georgia"/>
          <w:color w:val="111111"/>
          <w:sz w:val="20"/>
          <w:szCs w:val="20"/>
        </w:rPr>
        <w:t xml:space="preserve">[6] McDermott, Vanselous, Corcelli &amp; Petersen (2017) DNA's hydration layer as an ordered, dynamically coupled shell — the water structure that damps thermal noise around the helix and stabilises its resonant modes. J. Am. Chem. Soc. 139, 3958–3961↗</w:t>
      </w:r>
    </w:p>
    <w:p>
      <w:pPr>
        <w:spacing w:after="100" w:line="280"/>
        <w:ind w:left="560" w:hanging="560"/>
      </w:pPr>
      <w:r>
        <w:rPr>
          <w:rFonts w:ascii="Georgia" w:cs="Georgia" w:eastAsia="Georgia" w:hAnsi="Georgia"/>
          <w:color w:val="111111"/>
          <w:sz w:val="20"/>
          <w:szCs w:val="20"/>
        </w:rPr>
        <w:t xml:space="preserve">[7] Cohen (1995) Fractal antenna engineering: self-similar geometries couple efficiently to a wide band of frequencies without enlarging the device. The engineering principle behind reading the helix as a broadband biological antenna. IEEE APS Symposium, 1995↗</w:t>
      </w:r>
    </w:p>
    <w:p>
      <w:pPr>
        <w:spacing w:after="100" w:line="280"/>
        <w:ind w:left="560" w:hanging="560"/>
      </w:pPr>
      <w:r>
        <w:rPr>
          <w:rFonts w:ascii="Georgia" w:cs="Georgia" w:eastAsia="Georgia" w:hAnsi="Georgia"/>
          <w:color w:val="111111"/>
          <w:sz w:val="20"/>
          <w:szCs w:val="20"/>
        </w:rPr>
        <w:t xml:space="preserve">[8] Blank &amp; Goodman (2011) DNA is a fractal antenna in electromagnetic fields. Proposes that the helix's self-similar geometry accounts for its broadband electromagnetic response and downstream stress-protein induction. Int. J. Radiat. Biol. 87, 409–415↗</w:t>
      </w:r>
    </w:p>
    <w:p>
      <w:pPr>
        <w:spacing w:after="100" w:line="280"/>
        <w:ind w:left="560" w:hanging="560"/>
      </w:pPr>
      <w:r>
        <w:rPr>
          <w:rFonts w:ascii="Georgia" w:cs="Georgia" w:eastAsia="Georgia" w:hAnsi="Georgia"/>
          <w:color w:val="111111"/>
          <w:sz w:val="20"/>
          <w:szCs w:val="20"/>
        </w:rPr>
        <w:t xml:space="preserve">[9] White (1969) · Călugăreanu–White–Fuller Self-linking and the Gauss integral. Establishes the topological identity Lk = Tw + Wr that governs supercoiled DNA: the linking number of a closed duplex is conserved and partitions between twist (helical winding) and writhe (path coiling). Amer. J. Math. 91, 693–728↗</w:t>
      </w:r>
    </w:p>
    <w:p>
      <w:pPr>
        <w:spacing w:after="100" w:line="280"/>
        <w:ind w:left="560" w:hanging="560"/>
      </w:pPr>
      <w:r>
        <w:rPr>
          <w:rFonts w:ascii="Georgia" w:cs="Georgia" w:eastAsia="Georgia" w:hAnsi="Georgia"/>
          <w:color w:val="111111"/>
          <w:sz w:val="20"/>
          <w:szCs w:val="20"/>
        </w:rPr>
        <w:t xml:space="preserve">[10] Wang (2002) · Cellular roles of DNA topoisomerases Review of the enzymes that manage torsional stress. Topoisomerases cut, pass, and reseal strands to relieve supercoiling generated by replication and transcription — the biological pressure-relief valve that keeps the linking constraint from tearing the reading frame. Nat. Rev. Mol. Cell Biol. 3, 430–440↗</w:t>
      </w:r>
    </w:p>
    <w:p>
      <w:pPr>
        <w:spacing w:after="100" w:line="280"/>
        <w:ind w:left="560" w:hanging="560"/>
      </w:pPr>
      <w:r>
        <w:rPr>
          <w:rFonts w:ascii="Georgia" w:cs="Georgia" w:eastAsia="Georgia" w:hAnsi="Georgia"/>
          <w:color w:val="111111"/>
          <w:sz w:val="20"/>
          <w:szCs w:val="20"/>
        </w:rPr>
        <w:t xml:space="preserve">[11] Allen, Beijersbergen, Spreeuw &amp; Woerdman (1992) Orbital angular momentum of light and the transformation of Laguerre–Gaussian modes. The founding paper on structured light with OAM — helical wavefronts that can transfer mechanical torque to matter. Phys. Rev. A 45, 8185–8189↗</w:t>
      </w:r>
    </w:p>
    <w:p>
      <w:pPr>
        <w:spacing w:after="100" w:line="280"/>
        <w:ind w:left="560" w:hanging="560"/>
      </w:pPr>
      <w:r>
        <w:rPr>
          <w:rFonts w:ascii="Georgia" w:cs="Georgia" w:eastAsia="Georgia" w:hAnsi="Georgia"/>
          <w:color w:val="111111"/>
          <w:sz w:val="20"/>
          <w:szCs w:val="20"/>
        </w:rPr>
        <w:t xml:space="preserve">[12] Padgett (2017) · Orbital angular momentum 25 years on Review of OAM optics: optical spanners, micromanipulation of chiral matter, and the transfer of well-defined mechanical torque without mechanical contact — the empirical basis for reading structured light as an optical wrench. Optics Express 25, 11265–11274↗</w:t>
      </w:r>
    </w:p>
    <w:p>
      <w:pPr>
        <w:spacing w:after="100" w:line="280"/>
        <w:ind w:left="560" w:hanging="560"/>
      </w:pPr>
      <w:r>
        <w:rPr>
          <w:rFonts w:ascii="Georgia" w:cs="Georgia" w:eastAsia="Georgia" w:hAnsi="Georgia"/>
          <w:color w:val="111111"/>
          <w:sz w:val="20"/>
          <w:szCs w:val="20"/>
        </w:rPr>
        <w:t xml:space="preserve">[13] Löwdin (1963) Proton tunneling in DNA and its biological implications. First proposal that hydrogen protons in base-pair hydrogen bonds occupy a double-well potential and can tunnel, generating rare tautomeric forms that mispair on replication — a quantum route to spontaneous mutation. Rev. Mod. Phys. 35, 724–732↗</w:t>
      </w:r>
    </w:p>
    <w:p>
      <w:pPr>
        <w:spacing w:after="100" w:line="280"/>
        <w:ind w:left="560" w:hanging="560"/>
      </w:pPr>
      <w:r>
        <w:rPr>
          <w:rFonts w:ascii="Georgia" w:cs="Georgia" w:eastAsia="Georgia" w:hAnsi="Georgia"/>
          <w:color w:val="111111"/>
          <w:sz w:val="20"/>
          <w:szCs w:val="20"/>
        </w:rPr>
        <w:t xml:space="preserve">[14] Slocombe, Sacchi &amp; Al-Khalili (2022) Open quantum systems treatment of proton tunneling in DNA. Modern re-examination of Löwdin: decoherence times and tunneling rates in the G–C hydrogen bonds are compatible with a non-negligible quantum contribution to point mutation. Commun. Phys. 5, 109↗</w:t>
      </w:r>
    </w:p>
    <w:p>
      <w:pPr>
        <w:pStyle w:val="Heading1"/>
        <w:pageBreakBefore/>
        <w:spacing w:after="120"/>
      </w:pPr>
      <w:r>
        <w:rPr>
          <w:rFonts w:ascii="Georgia" w:cs="Georgia" w:eastAsia="Georgia" w:hAnsi="Georgia"/>
          <w:b/>
          <w:bCs/>
          <w:sz w:val="34"/>
          <w:szCs w:val="34"/>
        </w:rPr>
        <w:t xml:space="preserve">Chapter 7 — The Anthropogenic and Cosmic Grid</w:t>
      </w:r>
    </w:p>
    <w:p>
      <w:pPr>
        <w:spacing w:after="320"/>
      </w:pPr>
      <w:r>
        <w:rPr>
          <w:rFonts w:ascii="Georgia" w:cs="Georgia" w:eastAsia="Georgia" w:hAnsi="Georgia"/>
          <w:i/>
          <w:iCs/>
          <w:color w:val="444444"/>
          <w:sz w:val="24"/>
          <w:szCs w:val="24"/>
        </w:rPr>
        <w:t xml:space="preserve">Ambient Fields, Solar Cycles, and the Modern Matrix</w:t>
      </w:r>
    </w:p>
    <w:p>
      <w:pPr>
        <w:spacing w:after="200" w:before="160" w:line="300"/>
        <w:ind w:left="720" w:right="480"/>
      </w:pPr>
      <w:r>
        <w:rPr>
          <w:rFonts w:ascii="Georgia" w:cs="Georgia" w:eastAsia="Georgia" w:hAnsi="Georgia"/>
          <w:i/>
          <w:iCs/>
          <w:color w:val="333333"/>
          <w:sz w:val="21"/>
          <w:szCs w:val="21"/>
        </w:rPr>
        <w:t xml:space="preserve">Between the tubulin lattice and the policy grid there is an ecological bridge — the ambient matrix in which every cell must keep its tune. Chapter 5 read six ordinary acres as data. This chapter measures the field those acres sit inside.</w:t>
      </w:r>
    </w:p>
    <w:p>
      <w:pPr>
        <w:spacing w:after="160" w:line="300"/>
      </w:pPr>
      <w:r>
        <w:rPr>
          <w:rFonts w:ascii="Georgia" w:cs="Georgia" w:eastAsia="Georgia" w:hAnsi="Georgia"/>
          <w:color w:val="111111"/>
          <w:sz w:val="22"/>
          <w:szCs w:val="22"/>
        </w:rPr>
        <w:t xml:space="preserve">Chapters 1 through 6 argued the inside case: a Riemann-shaped substrate, a tensegrity body, an aperture-widening evolution, a tubulin lattice that behaves like a biological eigenvalue selector, and a local ground on which those claims can be checked. Before the argument turns to institutional frameworks — the electrical grid, the policy grid, the sovereignty grid — it has to cross one more boundary: the boundary between the cell matrix and the planetary matrix. The modern human environment is neither backdrop nor decoration. It is the ambient field into which every microtubule, every ordered-water shell, every spintronic protein must project its coherence.</w:t>
      </w:r>
    </w:p>
    <w:p>
      <w:pPr>
        <w:spacing w:after="160" w:line="300"/>
      </w:pPr>
      <w:r>
        <w:rPr>
          <w:rFonts w:ascii="Georgia" w:cs="Georgia" w:eastAsia="Georgia" w:hAnsi="Georgia"/>
          <w:color w:val="111111"/>
          <w:sz w:val="22"/>
          <w:szCs w:val="22"/>
        </w:rPr>
        <w:t xml:space="preserve">This chapter maps four layers of that ambient field: the anthropogenic electromagnetic blanket; the heliophysical connection to solar and geomagnetic cycles; the material environment of xenobiotics, nanoparticles, and plastics; and the spatial geometry of modern living — light, ground, and enclosure. Each layer is examined as a load on the same quantum-biological hardware developed in Chapter 4.</w:t>
      </w:r>
    </w:p>
    <w:p>
      <w:pPr>
        <w:pStyle w:val="Heading2"/>
        <w:keepNext/>
        <w:spacing w:after="160" w:before="320"/>
      </w:pPr>
      <w:r>
        <w:rPr>
          <w:rFonts w:ascii="Georgia" w:cs="Georgia" w:eastAsia="Georgia" w:hAnsi="Georgia"/>
          <w:b/>
          <w:bCs/>
          <w:color w:val="111111"/>
          <w:sz w:val="26"/>
          <w:szCs w:val="26"/>
        </w:rPr>
        <w:t xml:space="preserve">I. The Ambient Matrix: EMF and the Technosphere</w:t>
      </w:r>
    </w:p>
    <w:p>
      <w:pPr>
        <w:spacing w:after="160" w:line="300"/>
      </w:pPr>
      <w:r>
        <w:rPr>
          <w:rFonts w:ascii="Georgia" w:cs="Georgia" w:eastAsia="Georgia" w:hAnsi="Georgia"/>
          <w:color w:val="111111"/>
          <w:sz w:val="22"/>
          <w:szCs w:val="22"/>
        </w:rPr>
        <w:t xml:space="preserve">The last three human generations have raised the terrestrial radiofrequency floor by many orders of magnitude. Wi-Fi meshes, cellular networks, 5G microcells, and satellite constellations together form what can fairly be called an </w:t>
      </w:r>
      <w:r>
        <w:rPr>
          <w:rFonts w:ascii="Georgia" w:cs="Georgia" w:eastAsia="Georgia" w:hAnsi="Georgia"/>
          <w:i/>
          <w:iCs/>
          <w:color w:val="111111"/>
          <w:sz w:val="22"/>
          <w:szCs w:val="22"/>
        </w:rPr>
        <w:t xml:space="preserve">anthropogenic blanket</w:t>
      </w:r>
      <w:r>
        <w:rPr>
          <w:rFonts w:ascii="Georgia" w:cs="Georgia" w:eastAsia="Georgia" w:hAnsi="Georgia"/>
          <w:color w:val="111111"/>
          <w:sz w:val="22"/>
          <w:szCs w:val="22"/>
        </w:rPr>
        <w:t xml:space="preserve">: an artificial, largely coherent field superimposed on the natural spectrum that shaped life.</w:t>
      </w:r>
    </w:p>
    <w:p>
      <w:pPr>
        <w:spacing w:after="160" w:line="300"/>
      </w:pPr>
      <w:r>
        <w:rPr>
          <w:rFonts w:ascii="Georgia" w:cs="Georgia" w:eastAsia="Georgia" w:hAnsi="Georgia"/>
          <w:color w:val="111111"/>
          <w:sz w:val="22"/>
          <w:szCs w:val="22"/>
        </w:rPr>
        <w:t xml:space="preserve">Against the tubulin picture of Chapter 4, this matters in a specific way. Microtubules behave as hollow waveguides whose exciton hopping (FRET across tryptophan networks) and terahertz resonances depend on a low-entropy electromagnetic background. Add a persistent artificial signal and you add structural noise to a device that was tuned for quiet. The claim is not that this proves harm at ordinary exposures. The claim is narrower and more useful: any serious model of biological coherence has to include the ambient field as a boundary condition, not treat it as absent.</w:t>
      </w:r>
    </w:p>
    <w:p>
      <w:pPr>
        <w:spacing w:after="160" w:line="300"/>
      </w:pPr>
      <w:r>
        <w:rPr>
          <w:rFonts w:ascii="Georgia" w:cs="Georgia" w:eastAsia="Georgia" w:hAnsi="Georgia"/>
          <w:color w:val="111111"/>
          <w:sz w:val="22"/>
          <w:szCs w:val="22"/>
        </w:rPr>
        <w:t xml:space="preserve">The most-cited biophysical mechanism connecting artificial fields to cellular behavior runs through voltage-gated calcium channels (VGCCs). Pall’s synthesis of the experimental literature argues that low-intensity, non-thermal fields can activate VGCCs and drive a mechanical influx of calcium that alters downstream signalling and matrix behavior [Pall 2013]. Whether one accepts the strongest form of that model or a weaker one, the shape of the argument is the shape this book has been making all along: modern environments perturb a channel that a coherent biology depends on.</w:t>
      </w:r>
    </w:p>
    <w:p>
      <w:pPr>
        <w:pStyle w:val="Heading2"/>
        <w:keepNext/>
        <w:spacing w:after="160" w:before="320"/>
      </w:pPr>
      <w:r>
        <w:rPr>
          <w:rFonts w:ascii="Georgia" w:cs="Georgia" w:eastAsia="Georgia" w:hAnsi="Georgia"/>
          <w:b/>
          <w:bCs/>
          <w:color w:val="111111"/>
          <w:sz w:val="26"/>
          <w:szCs w:val="26"/>
        </w:rPr>
        <w:t xml:space="preserve">II. The Heliophysical Connection: Sun, Field, and Signal</w:t>
      </w:r>
    </w:p>
    <w:p>
      <w:pPr>
        <w:spacing w:after="160" w:line="300"/>
      </w:pPr>
      <w:r>
        <w:rPr>
          <w:rFonts w:ascii="Georgia" w:cs="Georgia" w:eastAsia="Georgia" w:hAnsi="Georgia"/>
          <w:color w:val="111111"/>
          <w:sz w:val="22"/>
          <w:szCs w:val="22"/>
        </w:rPr>
        <w:t xml:space="preserve">Above the technosphere sits the heliosphere. Solar cycles, coronal mass ejections, and flares modulate the Earth’s geomagnetic field on timescales from seconds to decades. Human physiology tracks those rhythms measurably — chronomics data document cardiovascular, neurological, and cellular alignment with solar and geomagnetic profiles [Halberg et al. 2000]. Cherry proposed a biophysical bridge: the Schumann resonances of the Earth-ionosphere cavity as a low-frequency reference into which biological receivers are tuned [Cherry 2002].</w:t>
      </w:r>
    </w:p>
    <w:p>
      <w:pPr>
        <w:spacing w:after="160" w:line="300"/>
      </w:pPr>
      <w:r>
        <w:rPr>
          <w:rFonts w:ascii="Georgia" w:cs="Georgia" w:eastAsia="Georgia" w:hAnsi="Georgia"/>
          <w:color w:val="111111"/>
          <w:sz w:val="22"/>
          <w:szCs w:val="22"/>
        </w:rPr>
        <w:t xml:space="preserve">Read against Chapters 3 and 4, this is not mysticism. It is the same claim in a different register. If living tissue is an aperture, then its stable modes must be defined against</w:t>
      </w:r>
      <w:r>
        <w:rPr>
          <w:rFonts w:ascii="Georgia" w:cs="Georgia" w:eastAsia="Georgia" w:hAnsi="Georgia"/>
          <w:i/>
          <w:iCs/>
          <w:color w:val="111111"/>
          <w:sz w:val="22"/>
          <w:szCs w:val="22"/>
        </w:rPr>
        <w:t xml:space="preserve"> some</w:t>
      </w:r>
      <w:r>
        <w:rPr>
          <w:rFonts w:ascii="Georgia" w:cs="Georgia" w:eastAsia="Georgia" w:hAnsi="Georgia"/>
          <w:color w:val="111111"/>
          <w:sz w:val="22"/>
          <w:szCs w:val="22"/>
        </w:rPr>
        <w:t xml:space="preserve"> ambient reference. The natural reference set includes the Earth’s magnetic field, its resonant cavity, and the star that powers both. Spikes in solar irradiation, in this reading, are not only environmental hazards; they are also energetic events that alter proton tunneling in DNA, shift mRNA folding kinetics (Chapter 4’s dynamic ensemble), and can push a population toward the rapid, non-linear adaptations described in Chapter 3.</w:t>
      </w:r>
    </w:p>
    <w:p>
      <w:pPr>
        <w:pStyle w:val="Heading2"/>
        <w:keepNext/>
        <w:spacing w:after="160" w:before="320"/>
      </w:pPr>
      <w:r>
        <w:rPr>
          <w:rFonts w:ascii="Georgia" w:cs="Georgia" w:eastAsia="Georgia" w:hAnsi="Georgia"/>
          <w:b/>
          <w:bCs/>
          <w:color w:val="111111"/>
          <w:sz w:val="26"/>
          <w:szCs w:val="26"/>
        </w:rPr>
        <w:t xml:space="preserve">III. The Material Environment: Xenobiotics and the Matrix</w:t>
      </w:r>
    </w:p>
    <w:p>
      <w:pPr>
        <w:spacing w:after="160" w:line="300"/>
      </w:pPr>
      <w:r>
        <w:rPr>
          <w:rFonts w:ascii="Georgia" w:cs="Georgia" w:eastAsia="Georgia" w:hAnsi="Georgia"/>
          <w:color w:val="111111"/>
          <w:sz w:val="22"/>
          <w:szCs w:val="22"/>
        </w:rPr>
        <w:t xml:space="preserve">The extracellular matrix (ECM) is not passive scaffolding. Its density, stiffness, and viscoelasticity feed directly into cell fate through mechanotransduction [Frantz, Stewart &amp; Weaver 2010]. Synthetic chemicals, heavy metals, and the now-ubiquitous microplastic and nanoplastic load alter these material properties in ways that are still being characterized but are no longer controversial in direction.</w:t>
      </w:r>
    </w:p>
    <w:p>
      <w:pPr>
        <w:spacing w:after="160" w:line="300"/>
      </w:pPr>
      <w:r>
        <w:rPr>
          <w:rFonts w:ascii="Georgia" w:cs="Georgia" w:eastAsia="Georgia" w:hAnsi="Georgia"/>
          <w:color w:val="111111"/>
          <w:sz w:val="22"/>
          <w:szCs w:val="22"/>
        </w:rPr>
        <w:t xml:space="preserve">Two consequences matter for the book’s argument. First, the liquid-liquid phase separation (LLPS) machinery introduced in Chapter 4 depends on a well-behaved cytoplasmic bath. Chronic xenobiotic load pushes reversible survival granules toward the rigid, pathological aggregates seen in neurodegenerative conditions — a mechanical failure of the fluid matrix rather than a purely genetic one. Second, the ECM itself becomes a different substrate: a stiffer, noisier, more chemically saturated field, which reshapes the epigenetic landscape and forces biology into the kind of radical, survival-driven restructuring that Chapter 3 read as speciation pressure.</w:t>
      </w:r>
    </w:p>
    <w:p>
      <w:pPr>
        <w:pStyle w:val="Heading2"/>
        <w:keepNext/>
        <w:spacing w:after="160" w:before="320"/>
      </w:pPr>
      <w:r>
        <w:rPr>
          <w:rFonts w:ascii="Georgia" w:cs="Georgia" w:eastAsia="Georgia" w:hAnsi="Georgia"/>
          <w:b/>
          <w:bCs/>
          <w:color w:val="111111"/>
          <w:sz w:val="26"/>
          <w:szCs w:val="26"/>
        </w:rPr>
        <w:t xml:space="preserve">IV. The Spatial Geometry of Living</w:t>
      </w:r>
    </w:p>
    <w:p>
      <w:pPr>
        <w:spacing w:after="160" w:line="300"/>
      </w:pPr>
      <w:r>
        <w:rPr>
          <w:rFonts w:ascii="Georgia" w:cs="Georgia" w:eastAsia="Georgia" w:hAnsi="Georgia"/>
          <w:color w:val="111111"/>
          <w:sz w:val="22"/>
          <w:szCs w:val="22"/>
        </w:rPr>
        <w:t xml:space="preserve">The last layer is the one people can see. Modern industrialized space isolates the human organism from the ambient references the previous sections named. Narrow-spectrum LED lighting replaces a full solar spectrum, degrading the spin-state biology of mitochondrial enzymes and disrupting circadian entrainment. Insulated flooring and shod feet separate the body from the Earth’s electrical potential — a small effect per person, but a persistent boundary condition on the semiconducting network of structural proteins. Enclosed rooms flatten the resonant cavity the ionosphere provides for free.</w:t>
      </w:r>
    </w:p>
    <w:p>
      <w:pPr>
        <w:spacing w:after="160" w:line="300"/>
      </w:pPr>
      <w:r>
        <w:rPr>
          <w:rFonts w:ascii="Georgia" w:cs="Georgia" w:eastAsia="Georgia" w:hAnsi="Georgia"/>
          <w:color w:val="111111"/>
          <w:sz w:val="22"/>
          <w:szCs w:val="22"/>
        </w:rPr>
        <w:t xml:space="preserve">Framed against the argument of this book, the industrial interior is not simply uncomfortable. It is a low-bandwidth antenna environment for a biology that evolved as a wide-band receiver. That does not require any exotic new mechanism. It requires only the mechanisms already assembled in Chapters 2 through 4, examined with their boundary conditions honestly declared.</w:t>
      </w:r>
    </w:p>
    <w:p>
      <w:pPr>
        <w:pStyle w:val="Heading2"/>
        <w:keepNext/>
        <w:spacing w:after="160" w:before="320"/>
      </w:pPr>
      <w:r>
        <w:rPr>
          <w:rFonts w:ascii="Georgia" w:cs="Georgia" w:eastAsia="Georgia" w:hAnsi="Georgia"/>
          <w:b/>
          <w:bCs/>
          <w:color w:val="111111"/>
          <w:sz w:val="26"/>
          <w:szCs w:val="26"/>
        </w:rPr>
        <w:t xml:space="preserve">V. Bridge to the Grid Chapters</w:t>
      </w:r>
    </w:p>
    <w:p>
      <w:pPr>
        <w:spacing w:after="160" w:line="300"/>
      </w:pPr>
      <w:r>
        <w:rPr>
          <w:rFonts w:ascii="Georgia" w:cs="Georgia" w:eastAsia="Georgia" w:hAnsi="Georgia"/>
          <w:color w:val="111111"/>
          <w:sz w:val="22"/>
          <w:szCs w:val="22"/>
        </w:rPr>
        <w:t xml:space="preserve">The ambient field is what any grid — electrical, cultural, or sovereign — will have to be judged against. A power grid whose spectral spacing resembles the Riemann ridge (Chapter 12) is more resilient in exactly the environment this chapter has just described. A culture that treats light, ground, and quiet as engineering variables rather than aesthetic ones (Chapter 11) is more likely to keep its citizens inside their coherent modes. A policy posture that names quantum energy as a third regime (Chapter 12) is, among other things, a policy posture on the ambient matrix itself.</w:t>
      </w:r>
    </w:p>
    <w:p>
      <w:pPr>
        <w:spacing w:after="160" w:line="300"/>
      </w:pPr>
      <w:r>
        <w:rPr>
          <w:rFonts w:ascii="Georgia" w:cs="Georgia" w:eastAsia="Georgia" w:hAnsi="Georgia"/>
          <w:color w:val="111111"/>
          <w:sz w:val="22"/>
          <w:szCs w:val="22"/>
        </w:rPr>
        <w:t xml:space="preserve">Chapters 8 through 10 return to the interior — cognition, derivation, and the anthropic reread — before Chapters 11 and 12 take the argument outward to institutions and sovereignty. This chapter is the pivot: from the cell matrix to the planetary matrix, and from the planetary matrix to the human systems that try to regulate both.</w:t>
      </w:r>
    </w:p>
    <w:p>
      <w:pPr>
        <w:spacing w:after="160" w:line="300"/>
      </w:pPr>
      <w:r>
        <w:rPr>
          <w:rFonts w:ascii="Georgia" w:cs="Georgia" w:eastAsia="Georgia" w:hAnsi="Georgia"/>
          <w:color w:val="111111"/>
          <w:sz w:val="22"/>
          <w:szCs w:val="22"/>
        </w:rPr>
        <w:t xml:space="preserve">Field Note · Six Ordinary Acres, July 2026</w:t>
      </w:r>
    </w:p>
    <w:p>
      <w:pPr>
        <w:spacing w:after="160" w:line="300"/>
      </w:pPr>
      <w:r>
        <w:rPr>
          <w:rFonts w:ascii="Georgia" w:cs="Georgia" w:eastAsia="Georgia" w:hAnsi="Georgia"/>
          <w:color w:val="111111"/>
          <w:sz w:val="22"/>
          <w:szCs w:val="22"/>
        </w:rPr>
        <w:t xml:space="preserve">The ospreys are still here. They move across the same property this chapter has been measuring — from roof to fence to river birch — and their presence is a local readout of the ambient matrix. Enough open air, enough insect signal, enough quiet in the radiofrequency floor for a young predator to hold its coherence. They are not exempt from the field; they are evidence of what the field can still support.</w:t>
      </w:r>
    </w:p>
    <w:p>
      <w:pPr>
        <w:spacing w:after="160" w:line="300"/>
      </w:pPr>
      <w:r>
        <w:rPr>
          <w:rFonts w:ascii="Georgia" w:cs="Georgia" w:eastAsia="Georgia" w:hAnsi="Georgia"/>
          <w:color w:val="111111"/>
          <w:sz w:val="22"/>
          <w:szCs w:val="22"/>
        </w:rPr>
        <w:t xml:space="preserve">The joy in their flight is real, and it is tinged with sadness. Our stoic older studio dog, Juneau, is leaving us. His liver cancer has spread beyond our reach. The acres do not choose between the ospreys and the dog. The observer does. Both readings belong to the same ordinary ground.</w:t>
      </w:r>
    </w:p>
    <w:p>
      <w:pPr>
        <w:spacing w:after="160" w:line="300"/>
      </w:pPr>
      <w:r>
        <w:rPr>
          <w:rFonts w:ascii="Georgia" w:cs="Georgia" w:eastAsia="Georgia" w:hAnsi="Georgia"/>
          <w:color w:val="111111"/>
          <w:sz w:val="22"/>
          <w:szCs w:val="22"/>
        </w:rPr>
        <w:t xml:space="preserve">The sadness carries a question that this chapter is built to hold. If the anthropogenic grid — its chemicals, its frequencies, its altered light and water — can modulate the coherence on which living systems depend, then Juneau’s illness is not only a private loss. It is a local measurement of the same field the ospreys measure from above. Did something we did or did not do on these six acres, or in the wider grid they sit inside, contribute to the failure of his cells to hold the ridge? The question must be asked without claiming an answer the data do not yet support. But it must be asked. Compassion without inquiry becomes sentiment; inquiry without compassion becomes machinery. The book needs both.</w:t>
      </w:r>
    </w:p>
    <w:p>
      <w:pPr>
        <w:spacing w:after="160" w:line="300"/>
      </w:pPr>
      <w:r>
        <w:rPr>
          <w:rFonts w:ascii="Georgia" w:cs="Georgia" w:eastAsia="Georgia" w:hAnsi="Georgia"/>
          <w:color w:val="111111"/>
          <w:sz w:val="22"/>
          <w:szCs w:val="22"/>
        </w:rPr>
        <w:t xml:space="preserve">And if grief has a resolution, it is not explanation. It is the full acceptance of the weight, the active listening that turns the observer into a participant in the resonant frequency. Juneau returns to the field; the ospreys remain in it; the observer learns, slowly, to hear them both as the same tone.</w:t>
      </w:r>
    </w:p>
    <w:p>
      <w:pPr>
        <w:spacing w:after="160" w:line="300"/>
      </w:pPr>
      <w:r>
        <w:rPr>
          <w:rFonts w:ascii="Georgia" w:cs="Georgia" w:eastAsia="Georgia" w:hAnsi="Georgia"/>
          <w:color w:val="111111"/>
          <w:sz w:val="22"/>
          <w:szCs w:val="22"/>
        </w:rPr>
        <w:t xml:space="preserve">Sources and Further Reading</w:t>
      </w:r>
    </w:p>
    <w:p>
      <w:pPr>
        <w:pStyle w:val="ListParagraph"/>
        <w:numPr>
          <w:ilvl w:val="0"/>
          <w:numId w:val="2"/>
        </w:numPr>
        <w:spacing w:after="100" w:line="300"/>
      </w:pPr>
      <w:r>
        <w:rPr>
          <w:rFonts w:ascii="Georgia" w:cs="Georgia" w:eastAsia="Georgia" w:hAnsi="Georgia"/>
          <w:color w:val="111111"/>
          <w:sz w:val="22"/>
          <w:szCs w:val="22"/>
        </w:rPr>
        <w:t xml:space="preserve">Pall, M. L. (2013). Electromagnetic fields act via activation of voltage-gated calcium channels to produce beneficial or adverse effects. </w:t>
      </w:r>
      <w:r>
        <w:rPr>
          <w:rFonts w:ascii="Georgia" w:cs="Georgia" w:eastAsia="Georgia" w:hAnsi="Georgia"/>
          <w:i/>
          <w:iCs/>
          <w:color w:val="111111"/>
          <w:sz w:val="22"/>
          <w:szCs w:val="22"/>
        </w:rPr>
        <w:t xml:space="preserve">Journal of Cellular and Molecular Medicine</w:t>
      </w:r>
      <w:r>
        <w:rPr>
          <w:rFonts w:ascii="Georgia" w:cs="Georgia" w:eastAsia="Georgia" w:hAnsi="Georgia"/>
          <w:color w:val="111111"/>
          <w:sz w:val="22"/>
          <w:szCs w:val="22"/>
        </w:rPr>
        <w:t xml:space="preserve">, 17(8), 958–965.</w:t>
      </w:r>
    </w:p>
    <w:p>
      <w:pPr>
        <w:pStyle w:val="ListParagraph"/>
        <w:numPr>
          <w:ilvl w:val="0"/>
          <w:numId w:val="2"/>
        </w:numPr>
        <w:spacing w:after="100" w:line="300"/>
      </w:pPr>
      <w:r>
        <w:rPr>
          <w:rFonts w:ascii="Georgia" w:cs="Georgia" w:eastAsia="Georgia" w:hAnsi="Georgia"/>
          <w:color w:val="111111"/>
          <w:sz w:val="22"/>
          <w:szCs w:val="22"/>
        </w:rPr>
        <w:t xml:space="preserve">Halberg, F., et al. (2000). Chronomics: circadian and circaseptan profiles of human health. </w:t>
      </w:r>
      <w:r>
        <w:rPr>
          <w:rFonts w:ascii="Georgia" w:cs="Georgia" w:eastAsia="Georgia" w:hAnsi="Georgia"/>
          <w:i/>
          <w:iCs/>
          <w:color w:val="111111"/>
          <w:sz w:val="22"/>
          <w:szCs w:val="22"/>
        </w:rPr>
        <w:t xml:space="preserve">Biomedicina</w:t>
      </w:r>
      <w:r>
        <w:rPr>
          <w:rFonts w:ascii="Georgia" w:cs="Georgia" w:eastAsia="Georgia" w:hAnsi="Georgia"/>
          <w:color w:val="111111"/>
          <w:sz w:val="22"/>
          <w:szCs w:val="22"/>
        </w:rPr>
        <w:t xml:space="preserve">.</w:t>
      </w:r>
    </w:p>
    <w:p>
      <w:pPr>
        <w:pStyle w:val="ListParagraph"/>
        <w:numPr>
          <w:ilvl w:val="0"/>
          <w:numId w:val="2"/>
        </w:numPr>
        <w:spacing w:after="100" w:line="300"/>
      </w:pPr>
      <w:r>
        <w:rPr>
          <w:rFonts w:ascii="Georgia" w:cs="Georgia" w:eastAsia="Georgia" w:hAnsi="Georgia"/>
          <w:color w:val="111111"/>
          <w:sz w:val="22"/>
          <w:szCs w:val="22"/>
        </w:rPr>
        <w:t xml:space="preserve">Cherry, N. (2002). Schumann Resonances, a plausible biophysical mechanism for the electromagnetic alteration of human health. </w:t>
      </w:r>
      <w:r>
        <w:rPr>
          <w:rFonts w:ascii="Georgia" w:cs="Georgia" w:eastAsia="Georgia" w:hAnsi="Georgia"/>
          <w:i/>
          <w:iCs/>
          <w:color w:val="111111"/>
          <w:sz w:val="22"/>
          <w:szCs w:val="22"/>
        </w:rPr>
        <w:t xml:space="preserve">Natural Hazards</w:t>
      </w:r>
      <w:r>
        <w:rPr>
          <w:rFonts w:ascii="Georgia" w:cs="Georgia" w:eastAsia="Georgia" w:hAnsi="Georgia"/>
          <w:color w:val="111111"/>
          <w:sz w:val="22"/>
          <w:szCs w:val="22"/>
        </w:rPr>
        <w:t xml:space="preserve">, 26(3), 279–331.</w:t>
      </w:r>
    </w:p>
    <w:p>
      <w:pPr>
        <w:pStyle w:val="ListParagraph"/>
        <w:numPr>
          <w:ilvl w:val="0"/>
          <w:numId w:val="2"/>
        </w:numPr>
        <w:spacing w:after="100" w:line="300"/>
      </w:pPr>
      <w:r>
        <w:rPr>
          <w:rFonts w:ascii="Georgia" w:cs="Georgia" w:eastAsia="Georgia" w:hAnsi="Georgia"/>
          <w:color w:val="111111"/>
          <w:sz w:val="22"/>
          <w:szCs w:val="22"/>
        </w:rPr>
        <w:t xml:space="preserve">Frantz, C., Stewart, K. M., &amp; Weaver, V. M. (2010). The extracellular matrix at a glance. </w:t>
      </w:r>
      <w:r>
        <w:rPr>
          <w:rFonts w:ascii="Georgia" w:cs="Georgia" w:eastAsia="Georgia" w:hAnsi="Georgia"/>
          <w:i/>
          <w:iCs/>
          <w:color w:val="111111"/>
          <w:sz w:val="22"/>
          <w:szCs w:val="22"/>
        </w:rPr>
        <w:t xml:space="preserve">Journal of Cell Science</w:t>
      </w:r>
      <w:r>
        <w:rPr>
          <w:rFonts w:ascii="Georgia" w:cs="Georgia" w:eastAsia="Georgia" w:hAnsi="Georgia"/>
          <w:color w:val="111111"/>
          <w:sz w:val="22"/>
          <w:szCs w:val="22"/>
        </w:rPr>
        <w:t xml:space="preserve">, 123(24), 4195–4200.</w:t>
      </w:r>
    </w:p>
    <w:p>
      <w:pPr>
        <w:pStyle w:val="Heading1"/>
        <w:pageBreakBefore/>
        <w:spacing w:after="120"/>
      </w:pPr>
      <w:r>
        <w:rPr>
          <w:rFonts w:ascii="Georgia" w:cs="Georgia" w:eastAsia="Georgia" w:hAnsi="Georgia"/>
          <w:b/>
          <w:bCs/>
          <w:sz w:val="34"/>
          <w:szCs w:val="34"/>
        </w:rPr>
        <w:t xml:space="preserve">Chapter 8 — The Cognitive Aperture</w:t>
      </w:r>
    </w:p>
    <w:p>
      <w:pPr>
        <w:spacing w:after="320"/>
      </w:pPr>
      <w:r>
        <w:rPr>
          <w:rFonts w:ascii="Georgia" w:cs="Georgia" w:eastAsia="Georgia" w:hAnsi="Georgia"/>
          <w:i/>
          <w:iCs/>
          <w:color w:val="444444"/>
          <w:sz w:val="24"/>
          <w:szCs w:val="24"/>
        </w:rPr>
        <w:t xml:space="preserve">Brain / Universe Revisited</w:t>
      </w:r>
    </w:p>
    <w:p>
      <w:pPr>
        <w:spacing w:after="200" w:before="160" w:line="300"/>
        <w:ind w:left="720" w:right="480"/>
      </w:pPr>
      <w:r>
        <w:rPr>
          <w:rFonts w:ascii="Georgia" w:cs="Georgia" w:eastAsia="Georgia" w:hAnsi="Georgia"/>
          <w:i/>
          <w:iCs/>
          <w:color w:val="333333"/>
          <w:sz w:val="21"/>
          <w:szCs w:val="21"/>
        </w:rPr>
        <w:t xml:space="preserve">The cortex is not a container of experience. It is a receiver tuned — or detuned — by the field it lives inside.</w:t>
      </w:r>
    </w:p>
    <w:p>
      <w:pPr>
        <w:spacing w:after="160" w:line="300"/>
      </w:pPr>
      <w:r>
        <w:rPr>
          <w:rFonts w:ascii="Georgia" w:cs="Georgia" w:eastAsia="Georgia" w:hAnsi="Georgia"/>
          <w:color w:val="111111"/>
          <w:sz w:val="22"/>
          <w:szCs w:val="22"/>
        </w:rPr>
        <w:t xml:space="preserve">The brain / universe resemblance is the mirror this book steps back through. The prior volume — </w:t>
      </w:r>
      <w:r>
        <w:rPr>
          <w:rFonts w:ascii="Georgia" w:cs="Georgia" w:eastAsia="Georgia" w:hAnsi="Georgia"/>
          <w:i/>
          <w:iCs/>
          <w:color w:val="111111"/>
          <w:sz w:val="22"/>
          <w:szCs w:val="22"/>
        </w:rPr>
        <w:t xml:space="preserve">Brain / Universe · Universe / Brain</w:t>
      </w:r>
      <w:r>
        <w:rPr>
          <w:rFonts w:ascii="Georgia" w:cs="Georgia" w:eastAsia="Georgia" w:hAnsi="Georgia"/>
          <w:color w:val="111111"/>
          <w:sz w:val="22"/>
          <w:szCs w:val="22"/>
        </w:rPr>
        <w:t xml:space="preserve"> — is the peer-reviewed baseline for that claim: the statistical fingerprint the cortex shares with the cosmic web, the void-and-filament architecture the two share across roughly twenty-seven orders of magnitude, and the reading of the human cortex as a cosmos-shaped receiver, are developed there in full[1][2][3]. This chapter does not repeat that argument. It extends it in one direction the earlier book could only gesture toward: what tunes the receiver, and what detunes it.</w:t>
      </w:r>
    </w:p>
    <w:p>
      <w:pPr>
        <w:pStyle w:val="Heading2"/>
        <w:keepNext/>
        <w:spacing w:after="160" w:before="320"/>
      </w:pPr>
      <w:r>
        <w:rPr>
          <w:rFonts w:ascii="Georgia" w:cs="Georgia" w:eastAsia="Georgia" w:hAnsi="Georgia"/>
          <w:b/>
          <w:bCs/>
          <w:color w:val="111111"/>
          <w:sz w:val="26"/>
          <w:szCs w:val="26"/>
        </w:rPr>
        <w:t xml:space="preserve">I. The Scaffolding of the Interfacial Matrix</w:t>
      </w:r>
    </w:p>
    <w:p>
      <w:pPr>
        <w:spacing w:after="160" w:line="300"/>
      </w:pPr>
      <w:r>
        <w:rPr>
          <w:rFonts w:ascii="Georgia" w:cs="Georgia" w:eastAsia="Georgia" w:hAnsi="Georgia"/>
          <w:color w:val="111111"/>
          <w:sz w:val="22"/>
          <w:szCs w:val="22"/>
        </w:rPr>
        <w:t xml:space="preserve">The move from a passive, sensory-bound observer to an active, entangled entity requires an architecture, not a metaphor. In the prior volume the architecture was already named: a number-theoretic feedback system in which human biology is built from the topology of light, wave harmonics, and non-local field dynamics [1][2]. Read alongside the dense-connectomic evidence of the last two years, the picture is less speculative than it once sounded: the cortex is demonstrably a fractal, high-branching medium at the resolution limit of current imaging [5], and modern network neuroscience treats it as a small-world graph whose function depends on maintained coherence rather than raw wiring density [4].</w:t>
      </w:r>
    </w:p>
    <w:p>
      <w:pPr>
        <w:spacing w:after="160" w:line="300"/>
      </w:pPr>
      <w:r>
        <w:rPr>
          <w:rFonts w:ascii="Georgia" w:cs="Georgia" w:eastAsia="Georgia" w:hAnsi="Georgia"/>
          <w:color w:val="111111"/>
          <w:sz w:val="22"/>
          <w:szCs w:val="22"/>
        </w:rPr>
        <w:t xml:space="preserve">Two axes carry the argument forward. The </w:t>
      </w:r>
      <w:r>
        <w:rPr>
          <w:rFonts w:ascii="Georgia" w:cs="Georgia" w:eastAsia="Georgia" w:hAnsi="Georgia"/>
          <w:i/>
          <w:iCs/>
          <w:color w:val="111111"/>
          <w:sz w:val="22"/>
          <w:szCs w:val="22"/>
        </w:rPr>
        <w:t xml:space="preserve">internal tuning fork</w:t>
      </w:r>
      <w:r>
        <w:rPr>
          <w:rFonts w:ascii="Georgia" w:cs="Georgia" w:eastAsia="Georgia" w:hAnsi="Georgia"/>
          <w:color w:val="111111"/>
          <w:sz w:val="22"/>
          <w:szCs w:val="22"/>
        </w:rPr>
        <w:t xml:space="preserve"> is the cellular matrix — the microtubule network with its thirteen-protofilament, Fibonacci-indexed geometry, treated in Chapter 4 as a quantum-biological antenna and grounded in the Orch-OR literature [6]. The </w:t>
      </w:r>
      <w:r>
        <w:rPr>
          <w:rFonts w:ascii="Georgia" w:cs="Georgia" w:eastAsia="Georgia" w:hAnsi="Georgia"/>
          <w:i/>
          <w:iCs/>
          <w:color w:val="111111"/>
          <w:sz w:val="22"/>
          <w:szCs w:val="22"/>
        </w:rPr>
        <w:t xml:space="preserve">external waveguide</w:t>
      </w:r>
      <w:r>
        <w:rPr>
          <w:rFonts w:ascii="Georgia" w:cs="Georgia" w:eastAsia="Georgia" w:hAnsi="Georgia"/>
          <w:color w:val="111111"/>
          <w:sz w:val="22"/>
          <w:szCs w:val="22"/>
        </w:rPr>
        <w:t xml:space="preserve"> is the ambient environment: the geomagnetic and heliophysical field, the solar spectrum, and the anthropogenic technosphere the previous chapter (7) maps in detail. In the language of the earlier appendix, these are the two sides of a forty-eight-dimensional biophysical formalism — the internal receiver and the external field it phase-locks against [7][8].</w:t>
      </w:r>
    </w:p>
    <w:p>
      <w:pPr>
        <w:pStyle w:val="Heading2"/>
        <w:keepNext/>
        <w:spacing w:after="160" w:before="320"/>
      </w:pPr>
      <w:r>
        <w:rPr>
          <w:rFonts w:ascii="Georgia" w:cs="Georgia" w:eastAsia="Georgia" w:hAnsi="Georgia"/>
          <w:b/>
          <w:bCs/>
          <w:color w:val="111111"/>
          <w:sz w:val="26"/>
          <w:szCs w:val="26"/>
        </w:rPr>
        <w:t xml:space="preserve">II. Tuning the Antenna — the Bio-Physics of Phase-Lock</w:t>
      </w:r>
    </w:p>
    <w:p>
      <w:pPr>
        <w:spacing w:after="160" w:line="300"/>
      </w:pPr>
      <w:r>
        <w:rPr>
          <w:rFonts w:ascii="Georgia" w:cs="Georgia" w:eastAsia="Georgia" w:hAnsi="Georgia"/>
          <w:color w:val="111111"/>
          <w:sz w:val="22"/>
          <w:szCs w:val="22"/>
        </w:rPr>
        <w:t xml:space="preserve">When the external waveguide fluctuates hard — solar storms, a thinning magnetosphere, a saturated technosphere — an unshielded biological system experiences turbulent friction. At macroscopic scale that friction is legible as systemic inflammation, disrupted circadian entrainment, cognitive fatigue, and emotional disorientation. The evolutionary question this book asks is not how to eliminate the friction. It is how the organism reformats its internal wave-geometry to </w:t>
      </w:r>
      <w:r>
        <w:rPr>
          <w:rFonts w:ascii="Georgia" w:cs="Georgia" w:eastAsia="Georgia" w:hAnsi="Georgia"/>
          <w:i/>
          <w:iCs/>
          <w:color w:val="111111"/>
          <w:sz w:val="22"/>
          <w:szCs w:val="22"/>
        </w:rPr>
        <w:t xml:space="preserve">phase-lock</w:t>
      </w:r>
      <w:r>
        <w:rPr>
          <w:rFonts w:ascii="Georgia" w:cs="Georgia" w:eastAsia="Georgia" w:hAnsi="Georgia"/>
          <w:color w:val="111111"/>
          <w:sz w:val="22"/>
          <w:szCs w:val="22"/>
        </w:rPr>
        <w:t xml:space="preserve"> with the incoming pressure instead of shattering against it.</w:t>
      </w:r>
    </w:p>
    <w:p>
      <w:pPr>
        <w:spacing w:after="160" w:line="300"/>
      </w:pPr>
      <w:r>
        <w:rPr>
          <w:rFonts w:ascii="Georgia" w:cs="Georgia" w:eastAsia="Georgia" w:hAnsi="Georgia"/>
          <w:color w:val="111111"/>
          <w:sz w:val="22"/>
          <w:szCs w:val="22"/>
        </w:rPr>
        <w:t xml:space="preserve">Two subroutines govern that reformatting. Neither is new to the site; both are recompiled here as the closing move of the cognitive-aperture argument, and cited back to the essays that treat them at length [9][10][11].</w:t>
      </w:r>
    </w:p>
    <w:p>
      <w:pPr>
        <w:pStyle w:val="Heading3"/>
        <w:keepNext/>
        <w:spacing w:after="160" w:before="320"/>
      </w:pPr>
      <w:r>
        <w:rPr>
          <w:rFonts w:ascii="Georgia" w:cs="Georgia" w:eastAsia="Georgia" w:hAnsi="Georgia"/>
          <w:b/>
          <w:bCs/>
          <w:color w:val="111111"/>
          <w:sz w:val="23"/>
          <w:szCs w:val="23"/>
        </w:rPr>
        <w:t xml:space="preserve">1. Extended Respiratory Waveguides</w:t>
      </w:r>
    </w:p>
    <w:p>
      <w:pPr>
        <w:spacing w:after="160" w:line="300"/>
      </w:pPr>
      <w:r>
        <w:rPr>
          <w:rFonts w:ascii="Georgia" w:cs="Georgia" w:eastAsia="Georgia" w:hAnsi="Georgia"/>
          <w:color w:val="111111"/>
          <w:sz w:val="22"/>
          <w:szCs w:val="22"/>
        </w:rPr>
        <w:t xml:space="preserve">Standard biochemistry treats breath as gas exchange. The high-dimensional reading treats it as the primary mechanical and electromagnetic tuning fork of the body's fluid dynamics. Short, five-second cycles are mathematically insufficient to establish long-wave stability across the cellular matrix. Elongated, continuous respiration — modeled on the relaxed pressure-equalization pattern trained free-divers use before a descent, conducted smoothly without breath-holding [17] — acts as an active vagal brake on sympathetic entropy [15][16]. Lengthening the wave-period of the lungs vents the superficial phase-clutter driven by environmental noise; the neural grid begins to operate as a shielded waveguide rather than an exposed one, and the internal coherence architecture developed in Chapter 4 has room to settle into a low-turbulence regime.</w:t>
      </w:r>
    </w:p>
    <w:p>
      <w:pPr>
        <w:pStyle w:val="Heading3"/>
        <w:keepNext/>
        <w:spacing w:after="160" w:before="320"/>
      </w:pPr>
      <w:r>
        <w:rPr>
          <w:rFonts w:ascii="Georgia" w:cs="Georgia" w:eastAsia="Georgia" w:hAnsi="Georgia"/>
          <w:b/>
          <w:bCs/>
          <w:color w:val="111111"/>
          <w:sz w:val="23"/>
          <w:szCs w:val="23"/>
        </w:rPr>
        <w:t xml:space="preserve">2. Socratic Neuroplasticity — the Open-Loop Filter</w:t>
      </w:r>
    </w:p>
    <w:p>
      <w:pPr>
        <w:spacing w:after="160" w:line="300"/>
      </w:pPr>
      <w:r>
        <w:rPr>
          <w:rFonts w:ascii="Georgia" w:cs="Georgia" w:eastAsia="Georgia" w:hAnsi="Georgia"/>
          <w:color w:val="111111"/>
          <w:sz w:val="22"/>
          <w:szCs w:val="22"/>
        </w:rPr>
        <w:t xml:space="preserve">Tuning the brain requires a cognitive counterpart to the physical breath. Dogmatic, over-routinized thinking forces neural networks into rigid, localized energy traps — the cognitive equivalent of an off-line zero injecting destructive interference into an otherwise coherent spectrum. Sustained, open-ended Socratic inquiry, treated as a daily practice rather than a classroom exercise, keeps the loops of the cortex in a flexible superposition. Silent-period training reshapes the same networks over measurable timescales[13], and the day's plastic gains are consolidated — not lost — in the silence of sleep[12]; the storage headroom for what such practice writes is on the order of petabytes at the synaptic level [14].</w:t>
      </w:r>
    </w:p>
    <w:p>
      <w:pPr>
        <w:spacing w:after="160" w:line="300"/>
      </w:pPr>
      <w:r>
        <w:rPr>
          <w:rFonts w:ascii="Georgia" w:cs="Georgia" w:eastAsia="Georgia" w:hAnsi="Georgia"/>
          <w:color w:val="111111"/>
          <w:sz w:val="22"/>
          <w:szCs w:val="22"/>
        </w:rPr>
        <w:t xml:space="preserve">The two subroutines run together. The elongated breath drops the organism's internal entropy; open inquiry holds the cortex in a wide-bandwidth state. In that state, an incoming environmental shift — solar, seasonal, cultural, technological — is not processed as threat. It is processed as evolutionary data, and the ambient energy that would otherwise ablate a rigid receiver becomes the current a flexible one rides.</w:t>
      </w:r>
    </w:p>
    <w:p>
      <w:pPr>
        <w:pStyle w:val="Heading2"/>
        <w:keepNext/>
        <w:spacing w:after="160" w:before="320"/>
      </w:pPr>
      <w:r>
        <w:rPr>
          <w:rFonts w:ascii="Georgia" w:cs="Georgia" w:eastAsia="Georgia" w:hAnsi="Georgia"/>
          <w:b/>
          <w:bCs/>
          <w:color w:val="111111"/>
          <w:sz w:val="26"/>
          <w:szCs w:val="26"/>
        </w:rPr>
        <w:t xml:space="preserve">III. Inevitable Integration</w:t>
      </w:r>
    </w:p>
    <w:p>
      <w:pPr>
        <w:spacing w:after="160" w:line="300"/>
      </w:pPr>
      <w:r>
        <w:rPr>
          <w:rFonts w:ascii="Georgia" w:cs="Georgia" w:eastAsia="Georgia" w:hAnsi="Georgia"/>
          <w:color w:val="111111"/>
          <w:sz w:val="22"/>
          <w:szCs w:val="22"/>
        </w:rPr>
        <w:t xml:space="preserve">The line of sight the prior volume opened is the one this chapter closes. If the human being is structurally engineered to interact with high-dimensional light fields[1], then the friction of the modern environment stops reading as a hazard and starts reading as the slipstream through which the standing-wave identity carries itself into its next configuration. The next chapter returns to the mathematics.</w:t>
      </w:r>
    </w:p>
    <w:p>
      <w:pPr>
        <w:pStyle w:val="Heading2"/>
        <w:keepNext/>
        <w:spacing w:after="160" w:before="320"/>
      </w:pPr>
      <w:r>
        <w:rPr>
          <w:rFonts w:ascii="Georgia" w:cs="Georgia" w:eastAsia="Georgia" w:hAnsi="Georgia"/>
          <w:b/>
          <w:bCs/>
          <w:color w:val="111111"/>
          <w:sz w:val="26"/>
          <w:szCs w:val="26"/>
        </w:rPr>
        <w:t xml:space="preserve">References</w:t>
      </w:r>
    </w:p>
    <w:p>
      <w:pPr>
        <w:spacing w:after="100" w:line="280"/>
        <w:ind w:left="560" w:hanging="560"/>
      </w:pPr>
      <w:r>
        <w:rPr>
          <w:rFonts w:ascii="Georgia" w:cs="Georgia" w:eastAsia="Georgia" w:hAnsi="Georgia"/>
          <w:color w:val="111111"/>
          <w:sz w:val="20"/>
          <w:szCs w:val="20"/>
        </w:rPr>
        <w:t xml:space="preserve">[1] Norton, KW (2026) — Brain / Universe · Universe / Brain (Book 19) Book 19 of the sequence; the volume immediately preceding this one. Contains the full Cosmic-Brain Mirror discussion, the Voids Are Where It Thinks section, and the Proximity vs. Wiring frontier at length. Read online at /essays/brain-universe. /essays/brain-universe</w:t>
      </w:r>
    </w:p>
    <w:p>
      <w:pPr>
        <w:spacing w:after="100" w:line="280"/>
        <w:ind w:left="560" w:hanging="560"/>
      </w:pPr>
      <w:r>
        <w:rPr>
          <w:rFonts w:ascii="Georgia" w:cs="Georgia" w:eastAsia="Georgia" w:hAnsi="Georgia"/>
          <w:color w:val="111111"/>
          <w:sz w:val="20"/>
          <w:szCs w:val="20"/>
        </w:rPr>
        <w:t xml:space="preserve">[2] Norton, KW — The Luminous Architecture: Brain as Cosmos Companion essay on Homo Luminous. The sister-site treatment of the brain/universe mirror — the same Vazza–Feletti statistical fingerprint, the void-and-filament architecture, and the reading of the cortex as a cosmos-shaped receiver — developed in its own voice. homoluminous.us/luminous-architecture↗</w:t>
      </w:r>
    </w:p>
    <w:p>
      <w:pPr>
        <w:spacing w:after="100" w:line="280"/>
        <w:ind w:left="560" w:hanging="560"/>
      </w:pPr>
      <w:r>
        <w:rPr>
          <w:rFonts w:ascii="Georgia" w:cs="Georgia" w:eastAsia="Georgia" w:hAnsi="Georgia"/>
          <w:color w:val="111111"/>
          <w:sz w:val="20"/>
          <w:szCs w:val="20"/>
        </w:rPr>
        <w:t xml:space="preserve">[3] Vazza, F. &amp; Feletti, A. (2020) The Quantitative Comparison Between the Neuronal Network and the Cosmic Web — Frontiers in Physics 8:525731. Statistical fingerprint (spectral density, clustering, degree distribution) shared by the human cortex/cerebellum and the cosmic web across ~27 orders of magnitude. frontiersin.org — Vazza &amp; Feletti (2020)↗</w:t>
      </w:r>
    </w:p>
    <w:p>
      <w:pPr>
        <w:spacing w:after="100" w:line="280"/>
        <w:ind w:left="560" w:hanging="560"/>
      </w:pPr>
      <w:r>
        <w:rPr>
          <w:rFonts w:ascii="Georgia" w:cs="Georgia" w:eastAsia="Georgia" w:hAnsi="Georgia"/>
          <w:color w:val="111111"/>
          <w:sz w:val="20"/>
          <w:szCs w:val="20"/>
        </w:rPr>
        <w:t xml:space="preserve">[4] Bassett, D. S. &amp; Sporns, O. (2017) Network neuroscience. Nature Neuroscience 20, 353–364. The modern network-neuroscience framework the Vazza–Feletti comparison is measured against. doi.org/10.1038/nn.4502↗</w:t>
      </w:r>
    </w:p>
    <w:p>
      <w:pPr>
        <w:spacing w:after="100" w:line="280"/>
        <w:ind w:left="560" w:hanging="560"/>
      </w:pPr>
      <w:r>
        <w:rPr>
          <w:rFonts w:ascii="Georgia" w:cs="Georgia" w:eastAsia="Georgia" w:hAnsi="Georgia"/>
          <w:color w:val="111111"/>
          <w:sz w:val="20"/>
          <w:szCs w:val="20"/>
        </w:rPr>
        <w:t xml:space="preserve">[5] Shapson-Coe, A. et al. (2024) — Harvard/Google H01 connectome A petavoxel fragment of human cerebral cortex reconstructed at nanoscale. Science 384, eadk4858. The first human-cortex electron-microscopy volume dense enough to trace every neuron and synapse in the sample — the empirical face of the branching, fractal architecture Chapter Two calls a broadband receiver. Popular summary: Science News, 'A stunning new map shows what a tiny piece of our brain looks like.' sciencenews.org — Harvard/Google cortex map↗</w:t>
      </w:r>
    </w:p>
    <w:p>
      <w:pPr>
        <w:spacing w:after="100" w:line="280"/>
        <w:ind w:left="560" w:hanging="560"/>
      </w:pPr>
      <w:r>
        <w:rPr>
          <w:rFonts w:ascii="Georgia" w:cs="Georgia" w:eastAsia="Georgia" w:hAnsi="Georgia"/>
          <w:color w:val="111111"/>
          <w:sz w:val="20"/>
          <w:szCs w:val="20"/>
        </w:rPr>
        <w:t xml:space="preserve">[6] Penrose, R. &amp; Hameroff, S. — Orch-OR (review 2014) Consciousness in the universe: A review of the Orch-OR theory. Physics of Life Reviews 11(1). The microtubule-coherence proposal that Chapter Five treats as one biophysical instance of substrate coupling. doi.org/10.1016/j.plrev.2013.08.002↗</w:t>
      </w:r>
    </w:p>
    <w:p>
      <w:pPr>
        <w:spacing w:after="100" w:line="280"/>
        <w:ind w:left="560" w:hanging="560"/>
      </w:pPr>
      <w:r>
        <w:rPr>
          <w:rFonts w:ascii="Georgia" w:cs="Georgia" w:eastAsia="Georgia" w:hAnsi="Georgia"/>
          <w:color w:val="111111"/>
          <w:sz w:val="20"/>
          <w:szCs w:val="20"/>
        </w:rPr>
        <w:t xml:space="preserve">[7] Norton, KW — The Luminous Braid, Appendix L Empirical Validation and Biophysical Resonance of the Unified Substrate — MAESTRO ARPES, coherence-length measurements, and the 48-dimensional biophysical formalism. /essays/lbnl-confluence#appendix-l</w:t>
      </w:r>
    </w:p>
    <w:p>
      <w:pPr>
        <w:spacing w:after="100" w:line="280"/>
        <w:ind w:left="560" w:hanging="560"/>
      </w:pPr>
      <w:r>
        <w:rPr>
          <w:rFonts w:ascii="Georgia" w:cs="Georgia" w:eastAsia="Georgia" w:hAnsi="Georgia"/>
          <w:color w:val="111111"/>
          <w:sz w:val="20"/>
          <w:szCs w:val="20"/>
        </w:rPr>
        <w:t xml:space="preserve">[8] Norton, KW — The Witness and the Caliper On the Discipline of Co-Witnessing with Machine Intelligence; foreword to the appendices of The Luminous Braid. /essays/lbnl-confluence#witness-and-caliper</w:t>
      </w:r>
    </w:p>
    <w:p>
      <w:pPr>
        <w:spacing w:after="100" w:line="280"/>
        <w:ind w:left="560" w:hanging="560"/>
      </w:pPr>
      <w:r>
        <w:rPr>
          <w:rFonts w:ascii="Georgia" w:cs="Georgia" w:eastAsia="Georgia" w:hAnsi="Georgia"/>
          <w:color w:val="111111"/>
          <w:sz w:val="20"/>
          <w:szCs w:val="20"/>
        </w:rPr>
        <w:t xml:space="preserve">[9] Norton, KW (2026) — Vibe Coding the Living Architecture: A Field Guide to Human Biology as a Resonant System (Book 15) Book 15 of the sequence. The principal treatment of protein folding and neuroplasticity as coherent, context-dependent processes — including the Neuroplasticity as Coherent Remodeling working notes and the hippocampal case studies Chapter Eight compresses. Companion essay at /essays/living-architecture. /essays/living-architecture</w:t>
      </w:r>
    </w:p>
    <w:p>
      <w:pPr>
        <w:spacing w:after="100" w:line="280"/>
        <w:ind w:left="560" w:hanging="560"/>
      </w:pPr>
      <w:r>
        <w:rPr>
          <w:rFonts w:ascii="Georgia" w:cs="Georgia" w:eastAsia="Georgia" w:hAnsi="Georgia"/>
          <w:color w:val="111111"/>
          <w:sz w:val="20"/>
          <w:szCs w:val="20"/>
        </w:rPr>
        <w:t xml:space="preserve">[10] Norton, KW — Quantum Parallels in Neuroplasticity (working notes) Working notes on quantum-adjacent metabolic and cytoskeletal dynamics as the substrate on which measurable neuroplastic remodeling rides. /essays/living-architecture#quantum-parallels-in-energy-metabolism-informing-protein-folding-and-neuroplasti</w:t>
      </w:r>
    </w:p>
    <w:p>
      <w:pPr>
        <w:spacing w:after="100" w:line="280"/>
        <w:ind w:left="560" w:hanging="560"/>
      </w:pPr>
      <w:r>
        <w:rPr>
          <w:rFonts w:ascii="Georgia" w:cs="Georgia" w:eastAsia="Georgia" w:hAnsi="Georgia"/>
          <w:color w:val="111111"/>
          <w:sz w:val="20"/>
          <w:szCs w:val="20"/>
        </w:rPr>
        <w:t xml:space="preserve">[11] Norton, KW — On Slowness The silent-period essay. Reading contemplative practice as a widening of the biological aperture through which the substrate becomes audible. /essays/on-slowness</w:t>
      </w:r>
    </w:p>
    <w:p>
      <w:pPr>
        <w:spacing w:after="100" w:line="280"/>
        <w:ind w:left="560" w:hanging="560"/>
      </w:pPr>
      <w:r>
        <w:rPr>
          <w:rFonts w:ascii="Georgia" w:cs="Georgia" w:eastAsia="Georgia" w:hAnsi="Georgia"/>
          <w:color w:val="111111"/>
          <w:sz w:val="20"/>
          <w:szCs w:val="20"/>
        </w:rPr>
        <w:t xml:space="preserve">[12] Tononi, G. &amp; Cirelli, C. (2014) Sleep and the price of plasticity: synaptic homeostasis to memory consolidation. Neuron 81(1), 12–34. Why the silent period of sleep is where the day's plastic gains are integrated, not lost. doi.org/10.1016/j.neuron.2013.12.025↗</w:t>
      </w:r>
    </w:p>
    <w:p>
      <w:pPr>
        <w:spacing w:after="100" w:line="280"/>
        <w:ind w:left="560" w:hanging="560"/>
      </w:pPr>
      <w:r>
        <w:rPr>
          <w:rFonts w:ascii="Georgia" w:cs="Georgia" w:eastAsia="Georgia" w:hAnsi="Georgia"/>
          <w:color w:val="111111"/>
          <w:sz w:val="20"/>
          <w:szCs w:val="20"/>
        </w:rPr>
        <w:t xml:space="preserve">[13] Davidson, R. J. &amp; Lutz, A. (2008) Buddha's brain: neuroplasticity and meditation. IEEE Signal Processing Magazine 25(1), 176–174. EEG and structural evidence that sustained silent-period training reshapes the network the previous chapters describe. doi.org/10.1109/MSP.2008.4431873↗</w:t>
      </w:r>
    </w:p>
    <w:p>
      <w:pPr>
        <w:spacing w:after="100" w:line="280"/>
        <w:ind w:left="560" w:hanging="560"/>
      </w:pPr>
      <w:r>
        <w:rPr>
          <w:rFonts w:ascii="Georgia" w:cs="Georgia" w:eastAsia="Georgia" w:hAnsi="Georgia"/>
          <w:color w:val="111111"/>
          <w:sz w:val="20"/>
          <w:szCs w:val="20"/>
        </w:rPr>
        <w:t xml:space="preserve">[14] Bartol, T. M. et al. (2015) Nanoconnectomic upper bound on the variability of synaptic plasticity — eLife 4:e10778. Electron-microscopy reconstruction of hippocampal dendritic spines resolves at least 26 distinguishable synaptic strengths, ≈4.7 bits per synapse, and the ~1–2 petabyte estimate for human cortical memory capacity. eLife — Bartol et al. (2015)↗</w:t>
      </w:r>
    </w:p>
    <w:p>
      <w:pPr>
        <w:spacing w:after="100" w:line="280"/>
        <w:ind w:left="560" w:hanging="560"/>
      </w:pPr>
      <w:r>
        <w:rPr>
          <w:rFonts w:ascii="Georgia" w:cs="Georgia" w:eastAsia="Georgia" w:hAnsi="Georgia"/>
          <w:color w:val="111111"/>
          <w:sz w:val="20"/>
          <w:szCs w:val="20"/>
        </w:rPr>
        <w:t xml:space="preserve">[15] Porges, S. W. (2011) The Polyvagal Theory: Neurophysiological Foundations of Emotions, Attachment, Communication, and Self-Regulation. W. W. Norton. The empirical grounding for reading extended exhalation as a vagal brake on sympathetic entropy. Norton, 2011↗</w:t>
      </w:r>
    </w:p>
    <w:p>
      <w:pPr>
        <w:spacing w:after="100" w:line="280"/>
        <w:ind w:left="560" w:hanging="560"/>
      </w:pPr>
      <w:r>
        <w:rPr>
          <w:rFonts w:ascii="Georgia" w:cs="Georgia" w:eastAsia="Georgia" w:hAnsi="Georgia"/>
          <w:color w:val="111111"/>
          <w:sz w:val="20"/>
          <w:szCs w:val="20"/>
        </w:rPr>
        <w:t xml:space="preserve">[16] Gerritsen, R. J. S. &amp; Band, G. P. H. (2018) Breath of Life: The Respiratory Vagal Stimulation Model of Contemplative Activity. Frontiers in Human Neuroscience 12:397. The mechanistic bridge from long-wave respiration to vagal tone and cortical coherence. doi.org/10.3389/fnhum.2018.00397↗</w:t>
      </w:r>
    </w:p>
    <w:p>
      <w:pPr>
        <w:spacing w:after="100" w:line="280"/>
        <w:ind w:left="560" w:hanging="560"/>
      </w:pPr>
      <w:r>
        <w:rPr>
          <w:rFonts w:ascii="Georgia" w:cs="Georgia" w:eastAsia="Georgia" w:hAnsi="Georgia"/>
          <w:color w:val="111111"/>
          <w:sz w:val="20"/>
          <w:szCs w:val="20"/>
        </w:rPr>
        <w:t xml:space="preserve">[17] Schipke, J. D. et al. (2015) Effects of breath-hold deep diving on the cardiovascular system. The relaxed, elongated pre-descent breathing pattern of trained freedivers as a physiological reference for the extended-respiratory-waveguide practice invoked here. Eur. J. Sport Sci.↗</w:t>
      </w:r>
    </w:p>
    <w:p>
      <w:pPr>
        <w:spacing w:after="100" w:line="280"/>
        <w:ind w:left="560" w:hanging="560"/>
      </w:pPr>
      <w:r>
        <w:rPr>
          <w:rFonts w:ascii="Georgia" w:cs="Georgia" w:eastAsia="Georgia" w:hAnsi="Georgia"/>
          <w:color w:val="111111"/>
          <w:sz w:val="20"/>
          <w:szCs w:val="20"/>
        </w:rPr>
        <w:t xml:space="preserve">[1] Norton, KW (2026) — Brain / Universe · Universe / Brain (Book 19) Book 19 of the sequence; the volume immediately preceding this one. Contains the full Cosmic-Brain Mirror discussion, the Voids Are Where It Thinks section, and the Proximity vs. Wiring frontier at length. Read online at /essays/brain-universe. /essays/brain-universe</w:t>
      </w:r>
    </w:p>
    <w:p>
      <w:pPr>
        <w:spacing w:after="100" w:line="280"/>
        <w:ind w:left="560" w:hanging="560"/>
      </w:pPr>
      <w:r>
        <w:rPr>
          <w:rFonts w:ascii="Georgia" w:cs="Georgia" w:eastAsia="Georgia" w:hAnsi="Georgia"/>
          <w:color w:val="111111"/>
          <w:sz w:val="20"/>
          <w:szCs w:val="20"/>
        </w:rPr>
        <w:t xml:space="preserve">[2] Norton, KW — The Luminous Architecture: Brain as Cosmos Companion essay on Homo Luminous. The sister-site treatment of the brain/universe mirror — the same Vazza–Feletti statistical fingerprint, the void-and-filament architecture, and the reading of the cortex as a cosmos-shaped receiver — developed in its own voice. homoluminous.us/luminous-architecture↗</w:t>
      </w:r>
    </w:p>
    <w:p>
      <w:pPr>
        <w:spacing w:after="100" w:line="280"/>
        <w:ind w:left="560" w:hanging="560"/>
      </w:pPr>
      <w:r>
        <w:rPr>
          <w:rFonts w:ascii="Georgia" w:cs="Georgia" w:eastAsia="Georgia" w:hAnsi="Georgia"/>
          <w:color w:val="111111"/>
          <w:sz w:val="20"/>
          <w:szCs w:val="20"/>
        </w:rPr>
        <w:t xml:space="preserve">[3] Vazza, F. &amp; Feletti, A. (2020) The Quantitative Comparison Between the Neuronal Network and the Cosmic Web — Frontiers in Physics 8:525731. Statistical fingerprint (spectral density, clustering, degree distribution) shared by the human cortex/cerebellum and the cosmic web across ~27 orders of magnitude. frontiersin.org — Vazza &amp; Feletti (2020)↗</w:t>
      </w:r>
    </w:p>
    <w:p>
      <w:pPr>
        <w:spacing w:after="100" w:line="280"/>
        <w:ind w:left="560" w:hanging="560"/>
      </w:pPr>
      <w:r>
        <w:rPr>
          <w:rFonts w:ascii="Georgia" w:cs="Georgia" w:eastAsia="Georgia" w:hAnsi="Georgia"/>
          <w:color w:val="111111"/>
          <w:sz w:val="20"/>
          <w:szCs w:val="20"/>
        </w:rPr>
        <w:t xml:space="preserve">[4] Bassett, D. S. &amp; Sporns, O. (2017) Network neuroscience. Nature Neuroscience 20, 353–364. The modern network-neuroscience framework the Vazza–Feletti comparison is measured against. doi.org/10.1038/nn.4502↗</w:t>
      </w:r>
    </w:p>
    <w:p>
      <w:pPr>
        <w:spacing w:after="100" w:line="280"/>
        <w:ind w:left="560" w:hanging="560"/>
      </w:pPr>
      <w:r>
        <w:rPr>
          <w:rFonts w:ascii="Georgia" w:cs="Georgia" w:eastAsia="Georgia" w:hAnsi="Georgia"/>
          <w:color w:val="111111"/>
          <w:sz w:val="20"/>
          <w:szCs w:val="20"/>
        </w:rPr>
        <w:t xml:space="preserve">[5] Shapson-Coe, A. et al. (2024) — Harvard/Google H01 connectome A petavoxel fragment of human cerebral cortex reconstructed at nanoscale. Science 384, eadk4858. The first human-cortex electron-microscopy volume dense enough to trace every neuron and synapse in the sample — the empirical face of the branching, fractal architecture Chapter Two calls a broadband receiver. Popular summary: Science News, 'A stunning new map shows what a tiny piece of our brain looks like.' sciencenews.org — Harvard/Google cortex map↗</w:t>
      </w:r>
    </w:p>
    <w:p>
      <w:pPr>
        <w:spacing w:after="100" w:line="280"/>
        <w:ind w:left="560" w:hanging="560"/>
      </w:pPr>
      <w:r>
        <w:rPr>
          <w:rFonts w:ascii="Georgia" w:cs="Georgia" w:eastAsia="Georgia" w:hAnsi="Georgia"/>
          <w:color w:val="111111"/>
          <w:sz w:val="20"/>
          <w:szCs w:val="20"/>
        </w:rPr>
        <w:t xml:space="preserve">[6] Penrose, R. &amp; Hameroff, S. — Orch-OR (review 2014) Consciousness in the universe: A review of the Orch-OR theory. Physics of Life Reviews 11(1). The microtubule-coherence proposal that Chapter Five treats as one biophysical instance of substrate coupling. doi.org/10.1016/j.plrev.2013.08.002↗</w:t>
      </w:r>
    </w:p>
    <w:p>
      <w:pPr>
        <w:spacing w:after="100" w:line="280"/>
        <w:ind w:left="560" w:hanging="560"/>
      </w:pPr>
      <w:r>
        <w:rPr>
          <w:rFonts w:ascii="Georgia" w:cs="Georgia" w:eastAsia="Georgia" w:hAnsi="Georgia"/>
          <w:color w:val="111111"/>
          <w:sz w:val="20"/>
          <w:szCs w:val="20"/>
        </w:rPr>
        <w:t xml:space="preserve">[7] Norton, KW — The Luminous Braid, Appendix L Empirical Validation and Biophysical Resonance of the Unified Substrate — MAESTRO ARPES, coherence-length measurements, and the 48-dimensional biophysical formalism. /essays/lbnl-confluence#appendix-l</w:t>
      </w:r>
    </w:p>
    <w:p>
      <w:pPr>
        <w:spacing w:after="100" w:line="280"/>
        <w:ind w:left="560" w:hanging="560"/>
      </w:pPr>
      <w:r>
        <w:rPr>
          <w:rFonts w:ascii="Georgia" w:cs="Georgia" w:eastAsia="Georgia" w:hAnsi="Georgia"/>
          <w:color w:val="111111"/>
          <w:sz w:val="20"/>
          <w:szCs w:val="20"/>
        </w:rPr>
        <w:t xml:space="preserve">[8] Norton, KW — The Witness and the Caliper On the Discipline of Co-Witnessing with Machine Intelligence; foreword to the appendices of The Luminous Braid. /essays/lbnl-confluence#witness-and-caliper</w:t>
      </w:r>
    </w:p>
    <w:p>
      <w:pPr>
        <w:spacing w:after="100" w:line="280"/>
        <w:ind w:left="560" w:hanging="560"/>
      </w:pPr>
      <w:r>
        <w:rPr>
          <w:rFonts w:ascii="Georgia" w:cs="Georgia" w:eastAsia="Georgia" w:hAnsi="Georgia"/>
          <w:color w:val="111111"/>
          <w:sz w:val="20"/>
          <w:szCs w:val="20"/>
        </w:rPr>
        <w:t xml:space="preserve">[9] Norton, KW (2026) — Vibe Coding the Living Architecture: A Field Guide to Human Biology as a Resonant System (Book 15) Book 15 of the sequence. The principal treatment of protein folding and neuroplasticity as coherent, context-dependent processes — including the Neuroplasticity as Coherent Remodeling working notes and the hippocampal case studies Chapter Eight compresses. Companion essay at /essays/living-architecture. /essays/living-architecture</w:t>
      </w:r>
    </w:p>
    <w:p>
      <w:pPr>
        <w:spacing w:after="100" w:line="280"/>
        <w:ind w:left="560" w:hanging="560"/>
      </w:pPr>
      <w:r>
        <w:rPr>
          <w:rFonts w:ascii="Georgia" w:cs="Georgia" w:eastAsia="Georgia" w:hAnsi="Georgia"/>
          <w:color w:val="111111"/>
          <w:sz w:val="20"/>
          <w:szCs w:val="20"/>
        </w:rPr>
        <w:t xml:space="preserve">[10] Norton, KW — Quantum Parallels in Neuroplasticity (working notes) Working notes on quantum-adjacent metabolic and cytoskeletal dynamics as the substrate on which measurable neuroplastic remodeling rides. /essays/living-architecture#quantum-parallels-in-energy-metabolism-informing-protein-folding-and-neuroplasti</w:t>
      </w:r>
    </w:p>
    <w:p>
      <w:pPr>
        <w:spacing w:after="100" w:line="280"/>
        <w:ind w:left="560" w:hanging="560"/>
      </w:pPr>
      <w:r>
        <w:rPr>
          <w:rFonts w:ascii="Georgia" w:cs="Georgia" w:eastAsia="Georgia" w:hAnsi="Georgia"/>
          <w:color w:val="111111"/>
          <w:sz w:val="20"/>
          <w:szCs w:val="20"/>
        </w:rPr>
        <w:t xml:space="preserve">[11] Norton, KW — On Slowness The silent-period essay. Reading contemplative practice as a widening of the biological aperture through which the substrate becomes audible. /essays/on-slowness</w:t>
      </w:r>
    </w:p>
    <w:p>
      <w:pPr>
        <w:spacing w:after="100" w:line="280"/>
        <w:ind w:left="560" w:hanging="560"/>
      </w:pPr>
      <w:r>
        <w:rPr>
          <w:rFonts w:ascii="Georgia" w:cs="Georgia" w:eastAsia="Georgia" w:hAnsi="Georgia"/>
          <w:color w:val="111111"/>
          <w:sz w:val="20"/>
          <w:szCs w:val="20"/>
        </w:rPr>
        <w:t xml:space="preserve">[12] Tononi, G. &amp; Cirelli, C. (2014) Sleep and the price of plasticity: synaptic homeostasis to memory consolidation. Neuron 81(1), 12–34. Why the silent period of sleep is where the day's plastic gains are integrated, not lost. doi.org/10.1016/j.neuron.2013.12.025↗</w:t>
      </w:r>
    </w:p>
    <w:p>
      <w:pPr>
        <w:spacing w:after="100" w:line="280"/>
        <w:ind w:left="560" w:hanging="560"/>
      </w:pPr>
      <w:r>
        <w:rPr>
          <w:rFonts w:ascii="Georgia" w:cs="Georgia" w:eastAsia="Georgia" w:hAnsi="Georgia"/>
          <w:color w:val="111111"/>
          <w:sz w:val="20"/>
          <w:szCs w:val="20"/>
        </w:rPr>
        <w:t xml:space="preserve">[13] Davidson, R. J. &amp; Lutz, A. (2008) Buddha's brain: neuroplasticity and meditation. IEEE Signal Processing Magazine 25(1), 176–174. EEG and structural evidence that sustained silent-period training reshapes the network the previous chapters describe. doi.org/10.1109/MSP.2008.4431873↗</w:t>
      </w:r>
    </w:p>
    <w:p>
      <w:pPr>
        <w:spacing w:after="100" w:line="280"/>
        <w:ind w:left="560" w:hanging="560"/>
      </w:pPr>
      <w:r>
        <w:rPr>
          <w:rFonts w:ascii="Georgia" w:cs="Georgia" w:eastAsia="Georgia" w:hAnsi="Georgia"/>
          <w:color w:val="111111"/>
          <w:sz w:val="20"/>
          <w:szCs w:val="20"/>
        </w:rPr>
        <w:t xml:space="preserve">[14] Bartol, T. M. et al. (2015) Nanoconnectomic upper bound on the variability of synaptic plasticity — eLife 4:e10778. Electron-microscopy reconstruction of hippocampal dendritic spines resolves at least 26 distinguishable synaptic strengths, ≈4.7 bits per synapse, and the ~1–2 petabyte estimate for human cortical memory capacity. eLife — Bartol et al. (2015)↗</w:t>
      </w:r>
    </w:p>
    <w:p>
      <w:pPr>
        <w:spacing w:after="100" w:line="280"/>
        <w:ind w:left="560" w:hanging="560"/>
      </w:pPr>
      <w:r>
        <w:rPr>
          <w:rFonts w:ascii="Georgia" w:cs="Georgia" w:eastAsia="Georgia" w:hAnsi="Georgia"/>
          <w:color w:val="111111"/>
          <w:sz w:val="20"/>
          <w:szCs w:val="20"/>
        </w:rPr>
        <w:t xml:space="preserve">[15] Porges, S. W. (2011) The Polyvagal Theory: Neurophysiological Foundations of Emotions, Attachment, Communication, and Self-Regulation. W. W. Norton. The empirical grounding for reading extended exhalation as a vagal brake on sympathetic entropy. Norton, 2011↗</w:t>
      </w:r>
    </w:p>
    <w:p>
      <w:pPr>
        <w:spacing w:after="100" w:line="280"/>
        <w:ind w:left="560" w:hanging="560"/>
      </w:pPr>
      <w:r>
        <w:rPr>
          <w:rFonts w:ascii="Georgia" w:cs="Georgia" w:eastAsia="Georgia" w:hAnsi="Georgia"/>
          <w:color w:val="111111"/>
          <w:sz w:val="20"/>
          <w:szCs w:val="20"/>
        </w:rPr>
        <w:t xml:space="preserve">[16] Gerritsen, R. J. S. &amp; Band, G. P. H. (2018) Breath of Life: The Respiratory Vagal Stimulation Model of Contemplative Activity. Frontiers in Human Neuroscience 12:397. The mechanistic bridge from long-wave respiration to vagal tone and cortical coherence. doi.org/10.3389/fnhum.2018.00397↗</w:t>
      </w:r>
    </w:p>
    <w:p>
      <w:pPr>
        <w:spacing w:after="100" w:line="280"/>
        <w:ind w:left="560" w:hanging="560"/>
      </w:pPr>
      <w:r>
        <w:rPr>
          <w:rFonts w:ascii="Georgia" w:cs="Georgia" w:eastAsia="Georgia" w:hAnsi="Georgia"/>
          <w:color w:val="111111"/>
          <w:sz w:val="20"/>
          <w:szCs w:val="20"/>
        </w:rPr>
        <w:t xml:space="preserve">[17] Schipke, J. D. et al. (2015) Effects of breath-hold deep diving on the cardiovascular system. The relaxed, elongated pre-descent breathing pattern of trained freedivers as a physiological reference for the extended-respiratory-waveguide practice invoked here. Eur. J. Sport Sci.↗</w:t>
      </w:r>
    </w:p>
    <w:p>
      <w:pPr>
        <w:pStyle w:val="Heading1"/>
        <w:pageBreakBefore/>
        <w:spacing w:after="120"/>
      </w:pPr>
      <w:r>
        <w:rPr>
          <w:rFonts w:ascii="Georgia" w:cs="Georgia" w:eastAsia="Georgia" w:hAnsi="Georgia"/>
          <w:b/>
          <w:bCs/>
          <w:sz w:val="34"/>
          <w:szCs w:val="34"/>
        </w:rPr>
        <w:t xml:space="preserve">Chapter 9 — Toward a Derivation</w:t>
      </w:r>
    </w:p>
    <w:p>
      <w:pPr>
        <w:spacing w:after="320"/>
      </w:pPr>
      <w:r>
        <w:rPr>
          <w:rFonts w:ascii="Georgia" w:cs="Georgia" w:eastAsia="Georgia" w:hAnsi="Georgia"/>
          <w:i/>
          <w:iCs/>
          <w:color w:val="444444"/>
          <w:sz w:val="24"/>
          <w:szCs w:val="24"/>
        </w:rPr>
        <w:t xml:space="preserve">What Proof Would Look Like</w:t>
      </w:r>
    </w:p>
    <w:p>
      <w:pPr>
        <w:spacing w:after="200" w:before="160" w:line="300"/>
        <w:ind w:left="720" w:right="480"/>
      </w:pPr>
      <w:r>
        <w:rPr>
          <w:rFonts w:ascii="Georgia" w:cs="Georgia" w:eastAsia="Georgia" w:hAnsi="Georgia"/>
          <w:i/>
          <w:iCs/>
          <w:color w:val="333333"/>
          <w:sz w:val="21"/>
          <w:szCs w:val="21"/>
        </w:rPr>
        <w:t xml:space="preserve">A derivation is not a proof. It is the honest sketch of the road a proof would have to walk, drawn tightly enough that a fair reader can see where the road is paved and where it still runs through open country.</w:t>
      </w:r>
    </w:p>
    <w:p>
      <w:pPr>
        <w:spacing w:after="160" w:line="300"/>
      </w:pPr>
      <w:r>
        <w:rPr>
          <w:rFonts w:ascii="Georgia" w:cs="Georgia" w:eastAsia="Georgia" w:hAnsi="Georgia"/>
          <w:color w:val="111111"/>
          <w:sz w:val="22"/>
          <w:szCs w:val="22"/>
        </w:rPr>
        <w:t xml:space="preserve">Eight chapters have laid a claim: that the Riemann critical line is not only a conjecture about the zeros of a specific complex function [1] but a selective ridge that the physical substrate prefers, and that the same preference propagates upward — through tensegrity, through the tubulin antenna, through the cortex, through language and institutions — as a coherent series of apertures on a single receiver. This final chapter asks the discipline question. If any of that is right, what would it take to derive it, rather than describe it?</w:t>
      </w:r>
    </w:p>
    <w:p>
      <w:pPr>
        <w:pStyle w:val="Heading2"/>
        <w:keepNext/>
        <w:spacing w:after="160" w:before="320"/>
      </w:pPr>
      <w:r>
        <w:rPr>
          <w:rFonts w:ascii="Georgia" w:cs="Georgia" w:eastAsia="Georgia" w:hAnsi="Georgia"/>
          <w:b/>
          <w:bCs/>
          <w:color w:val="111111"/>
          <w:sz w:val="26"/>
          <w:szCs w:val="26"/>
        </w:rPr>
        <w:t xml:space="preserve">I. What "Derivation" Means Here</w:t>
      </w:r>
    </w:p>
    <w:p>
      <w:pPr>
        <w:spacing w:after="160" w:line="300"/>
      </w:pPr>
      <w:r>
        <w:rPr>
          <w:rFonts w:ascii="Georgia" w:cs="Georgia" w:eastAsia="Georgia" w:hAnsi="Georgia"/>
          <w:color w:val="111111"/>
          <w:sz w:val="22"/>
          <w:szCs w:val="22"/>
        </w:rPr>
        <w:t xml:space="preserve">The word </w:t>
      </w:r>
      <w:r>
        <w:rPr>
          <w:rFonts w:ascii="Georgia" w:cs="Georgia" w:eastAsia="Georgia" w:hAnsi="Georgia"/>
          <w:i/>
          <w:iCs/>
          <w:color w:val="111111"/>
          <w:sz w:val="22"/>
          <w:szCs w:val="22"/>
        </w:rPr>
        <w:t xml:space="preserve">proof</w:t>
      </w:r>
      <w:r>
        <w:rPr>
          <w:rFonts w:ascii="Georgia" w:cs="Georgia" w:eastAsia="Georgia" w:hAnsi="Georgia"/>
          <w:color w:val="111111"/>
          <w:sz w:val="22"/>
          <w:szCs w:val="22"/>
        </w:rPr>
        <w:t xml:space="preserve"> is reserved, in this book, for the kind of object Riemann himself would recognize: a finite chain of steps, each licensed by a prior definition, terminating in a statement that cannot be denied without contradiction[2]. No such object exists yet for the claim I have made. Gödel's 1931 result guarantees, for any system rich enough to state that claim, that some true propositions will remain formally unprovable within it[4]. That is not a reason to abandon the effort; it is a reason to be precise about what the effort is.</w:t>
      </w:r>
    </w:p>
    <w:p>
      <w:pPr>
        <w:spacing w:after="160" w:line="300"/>
      </w:pPr>
      <w:r>
        <w:rPr>
          <w:rFonts w:ascii="Georgia" w:cs="Georgia" w:eastAsia="Georgia" w:hAnsi="Georgia"/>
          <w:color w:val="111111"/>
          <w:sz w:val="22"/>
          <w:szCs w:val="22"/>
        </w:rPr>
        <w:t xml:space="preserve">A </w:t>
      </w:r>
      <w:r>
        <w:rPr>
          <w:rFonts w:ascii="Georgia" w:cs="Georgia" w:eastAsia="Georgia" w:hAnsi="Georgia"/>
          <w:i/>
          <w:iCs/>
          <w:color w:val="111111"/>
          <w:sz w:val="22"/>
          <w:szCs w:val="22"/>
        </w:rPr>
        <w:t xml:space="preserve">derivation</w:t>
      </w:r>
      <w:r>
        <w:rPr>
          <w:rFonts w:ascii="Georgia" w:cs="Georgia" w:eastAsia="Georgia" w:hAnsi="Georgia"/>
          <w:color w:val="111111"/>
          <w:sz w:val="22"/>
          <w:szCs w:val="22"/>
        </w:rPr>
        <w:t xml:space="preserve">, in the working sense used here, is a weaker but honest object. It is a chain of reasoning in which every link is either (a) an accepted result from an established discipline, (b) a stated axiom this book takes on openly, or (c) a labeled gap — an </w:t>
      </w:r>
      <w:r>
        <w:rPr>
          <w:rFonts w:ascii="Georgia" w:cs="Georgia" w:eastAsia="Georgia" w:hAnsi="Georgia"/>
          <w:i/>
          <w:iCs/>
          <w:color w:val="111111"/>
          <w:sz w:val="22"/>
          <w:szCs w:val="22"/>
        </w:rPr>
        <w:t xml:space="preserve">open bridge</w:t>
      </w:r>
      <w:r>
        <w:rPr>
          <w:rFonts w:ascii="Georgia" w:cs="Georgia" w:eastAsia="Georgia" w:hAnsi="Georgia"/>
          <w:color w:val="111111"/>
          <w:sz w:val="22"/>
          <w:szCs w:val="22"/>
        </w:rPr>
        <w:t xml:space="preserve"> — with the conditions its future closure must satisfy written out in advance. The goal of this chapter is to lay the chain end to end, with the accepted links, the axioms, and the open bridges all visible on the same page.</w:t>
      </w:r>
    </w:p>
    <w:p>
      <w:pPr>
        <w:pStyle w:val="Heading2"/>
        <w:keepNext/>
        <w:spacing w:after="160" w:before="320"/>
      </w:pPr>
      <w:r>
        <w:rPr>
          <w:rFonts w:ascii="Georgia" w:cs="Georgia" w:eastAsia="Georgia" w:hAnsi="Georgia"/>
          <w:b/>
          <w:bCs/>
          <w:color w:val="111111"/>
          <w:sz w:val="26"/>
          <w:szCs w:val="26"/>
        </w:rPr>
        <w:t xml:space="preserve">II. The Axioms in Plain Sight</w:t>
      </w:r>
    </w:p>
    <w:p>
      <w:pPr>
        <w:spacing w:after="160" w:line="300"/>
      </w:pPr>
      <w:r>
        <w:rPr>
          <w:rFonts w:ascii="Georgia" w:cs="Georgia" w:eastAsia="Georgia" w:hAnsi="Georgia"/>
          <w:color w:val="111111"/>
          <w:sz w:val="22"/>
          <w:szCs w:val="22"/>
        </w:rPr>
        <w:t xml:space="preserve">Three axioms have carried the argument. None is proven here; each is stated so that a reader can accept or reject the whole construction on its merits rather than on hidden commitments.</w:t>
      </w:r>
    </w:p>
    <w:p>
      <w:pPr>
        <w:pStyle w:val="ListParagraph"/>
        <w:numPr>
          <w:ilvl w:val="0"/>
          <w:numId w:val="4"/>
        </w:numPr>
        <w:spacing w:after="100" w:line="300"/>
      </w:pPr>
      <w:r>
        <w:rPr>
          <w:rFonts w:ascii="Georgia" w:cs="Georgia" w:eastAsia="Georgia" w:hAnsi="Georgia"/>
          <w:b/>
          <w:bCs/>
          <w:color w:val="111111"/>
          <w:sz w:val="22"/>
          <w:szCs w:val="22"/>
        </w:rPr>
        <w:t xml:space="preserve">The Ridge Axiom.</w:t>
      </w:r>
      <w:r>
        <w:rPr>
          <w:rFonts w:ascii="Georgia" w:cs="Georgia" w:eastAsia="Georgia" w:hAnsi="Georgia"/>
          <w:color w:val="111111"/>
          <w:sz w:val="22"/>
          <w:szCs w:val="22"/>
        </w:rPr>
        <w:t xml:space="preserve"> The critical line Re(</w:t>
      </w:r>
      <w:r>
        <w:rPr>
          <w:rFonts w:ascii="Georgia" w:cs="Georgia" w:eastAsia="Georgia" w:hAnsi="Georgia"/>
          <w:i/>
          <w:iCs/>
          <w:color w:val="111111"/>
          <w:sz w:val="22"/>
          <w:szCs w:val="22"/>
        </w:rPr>
        <w:t xml:space="preserve">s</w:t>
      </w:r>
      <w:r>
        <w:rPr>
          <w:rFonts w:ascii="Georgia" w:cs="Georgia" w:eastAsia="Georgia" w:hAnsi="Georgia"/>
          <w:color w:val="111111"/>
          <w:sz w:val="22"/>
          <w:szCs w:val="22"/>
        </w:rPr>
        <w:t xml:space="preserve">) = ½ is not an artifact of a particular function. It is the spectral signature of a substrate that selects for information-preserving configurations. Weakened form: whatever the substrate is, its favored states share the statistical fingerprint the non-trivial zeros of ζ(</w:t>
      </w:r>
      <w:r>
        <w:rPr>
          <w:rFonts w:ascii="Georgia" w:cs="Georgia" w:eastAsia="Georgia" w:hAnsi="Georgia"/>
          <w:i/>
          <w:iCs/>
          <w:color w:val="111111"/>
          <w:sz w:val="22"/>
          <w:szCs w:val="22"/>
        </w:rPr>
        <w:t xml:space="preserve">s</w:t>
      </w:r>
      <w:r>
        <w:rPr>
          <w:rFonts w:ascii="Georgia" w:cs="Georgia" w:eastAsia="Georgia" w:hAnsi="Georgia"/>
          <w:color w:val="111111"/>
          <w:sz w:val="22"/>
          <w:szCs w:val="22"/>
        </w:rPr>
        <w:t xml:space="preserve">) exhibit [3][21].</w:t>
      </w:r>
    </w:p>
    <w:p>
      <w:pPr>
        <w:pStyle w:val="ListParagraph"/>
        <w:numPr>
          <w:ilvl w:val="0"/>
          <w:numId w:val="4"/>
        </w:numPr>
        <w:spacing w:after="100" w:line="300"/>
      </w:pPr>
      <w:r>
        <w:rPr>
          <w:rFonts w:ascii="Georgia" w:cs="Georgia" w:eastAsia="Georgia" w:hAnsi="Georgia"/>
          <w:b/>
          <w:bCs/>
          <w:color w:val="111111"/>
          <w:sz w:val="22"/>
          <w:szCs w:val="22"/>
        </w:rPr>
        <w:t xml:space="preserve">The Receiver Axiom.</w:t>
      </w:r>
      <w:r>
        <w:rPr>
          <w:rFonts w:ascii="Georgia" w:cs="Georgia" w:eastAsia="Georgia" w:hAnsi="Georgia"/>
          <w:color w:val="111111"/>
          <w:sz w:val="22"/>
          <w:szCs w:val="22"/>
        </w:rPr>
        <w:t xml:space="preserve"> Living tissue is organized, at every scale it can be measured, as a fractal antenna coupled to the substrate rather than an enclosure sealed from it [9][10][16]. The microtubule geometry of Chapter 4 and the cortical topology of Chapter 8 are two instances of the same rule.</w:t>
      </w:r>
    </w:p>
    <w:p>
      <w:pPr>
        <w:pStyle w:val="ListParagraph"/>
        <w:numPr>
          <w:ilvl w:val="0"/>
          <w:numId w:val="4"/>
        </w:numPr>
        <w:spacing w:after="100" w:line="300"/>
      </w:pPr>
      <w:r>
        <w:rPr>
          <w:rFonts w:ascii="Georgia" w:cs="Georgia" w:eastAsia="Georgia" w:hAnsi="Georgia"/>
          <w:b/>
          <w:bCs/>
          <w:color w:val="111111"/>
          <w:sz w:val="22"/>
          <w:szCs w:val="22"/>
        </w:rPr>
        <w:t xml:space="preserve">The Aperture Axiom.</w:t>
      </w:r>
      <w:r>
        <w:rPr>
          <w:rFonts w:ascii="Georgia" w:cs="Georgia" w:eastAsia="Georgia" w:hAnsi="Georgia"/>
          <w:color w:val="111111"/>
          <w:sz w:val="22"/>
          <w:szCs w:val="22"/>
        </w:rPr>
        <w:t xml:space="preserve"> Evolution — biological, cognitive, cultural — is the widening of the bandwidth over which a receiver can remain phase-locked to the substrate without collapsing. Fitness, in the extended sense this book has used, is coherence maintained across increasing environmental complexity [14][5].</w:t>
      </w:r>
    </w:p>
    <w:p>
      <w:pPr>
        <w:pStyle w:val="Heading2"/>
        <w:keepNext/>
        <w:spacing w:after="160" w:before="320"/>
      </w:pPr>
      <w:r>
        <w:rPr>
          <w:rFonts w:ascii="Georgia" w:cs="Georgia" w:eastAsia="Georgia" w:hAnsi="Georgia"/>
          <w:b/>
          <w:bCs/>
          <w:color w:val="111111"/>
          <w:sz w:val="26"/>
          <w:szCs w:val="26"/>
        </w:rPr>
        <w:t xml:space="preserve">III. Lemmas Already in Hand</w:t>
      </w:r>
    </w:p>
    <w:p>
      <w:pPr>
        <w:spacing w:after="160" w:line="300"/>
      </w:pPr>
      <w:r>
        <w:rPr>
          <w:rFonts w:ascii="Georgia" w:cs="Georgia" w:eastAsia="Georgia" w:hAnsi="Georgia"/>
          <w:color w:val="111111"/>
          <w:sz w:val="22"/>
          <w:szCs w:val="22"/>
        </w:rPr>
        <w:t xml:space="preserve">Several of the intermediate steps are not open. They are borrowed, with citation, from work that has already met its own disciplines' standards.</w:t>
      </w:r>
    </w:p>
    <w:p>
      <w:pPr>
        <w:pStyle w:val="ListParagraph"/>
        <w:numPr>
          <w:ilvl w:val="0"/>
          <w:numId w:val="2"/>
        </w:numPr>
        <w:spacing w:after="100" w:line="300"/>
      </w:pPr>
      <w:r>
        <w:rPr>
          <w:rFonts w:ascii="Georgia" w:cs="Georgia" w:eastAsia="Georgia" w:hAnsi="Georgia"/>
          <w:b/>
          <w:bCs/>
          <w:color w:val="111111"/>
          <w:sz w:val="22"/>
          <w:szCs w:val="22"/>
        </w:rPr>
        <w:t xml:space="preserve">Spectral statistics of the zeros.</w:t>
      </w:r>
      <w:r>
        <w:rPr>
          <w:rFonts w:ascii="Georgia" w:cs="Georgia" w:eastAsia="Georgia" w:hAnsi="Georgia"/>
          <w:color w:val="111111"/>
          <w:sz w:val="22"/>
          <w:szCs w:val="22"/>
        </w:rPr>
        <w:t xml:space="preserve"> The pair-correlation of non-trivial zeros of ζ(</w:t>
      </w:r>
      <w:r>
        <w:rPr>
          <w:rFonts w:ascii="Georgia" w:cs="Georgia" w:eastAsia="Georgia" w:hAnsi="Georgia"/>
          <w:i/>
          <w:iCs/>
          <w:color w:val="111111"/>
          <w:sz w:val="22"/>
          <w:szCs w:val="22"/>
        </w:rPr>
        <w:t xml:space="preserve">s</w:t>
      </w:r>
      <w:r>
        <w:rPr>
          <w:rFonts w:ascii="Georgia" w:cs="Georgia" w:eastAsia="Georgia" w:hAnsi="Georgia"/>
          <w:color w:val="111111"/>
          <w:sz w:val="22"/>
          <w:szCs w:val="22"/>
        </w:rPr>
        <w:t xml:space="preserve">) matches, empirically and to high precision, the eigenvalue statistics of large random Hermitian matrices — a result with no known mechanism outside the Hilbert–Pólya program[3][21].</w:t>
      </w:r>
    </w:p>
    <w:p>
      <w:pPr>
        <w:pStyle w:val="ListParagraph"/>
        <w:numPr>
          <w:ilvl w:val="0"/>
          <w:numId w:val="2"/>
        </w:numPr>
        <w:spacing w:after="100" w:line="300"/>
      </w:pPr>
      <w:r>
        <w:rPr>
          <w:rFonts w:ascii="Georgia" w:cs="Georgia" w:eastAsia="Georgia" w:hAnsi="Georgia"/>
          <w:b/>
          <w:bCs/>
          <w:color w:val="111111"/>
          <w:sz w:val="22"/>
          <w:szCs w:val="22"/>
        </w:rPr>
        <w:t xml:space="preserve">Cortex / cosmic-web resemblance.</w:t>
      </w:r>
      <w:r>
        <w:rPr>
          <w:rFonts w:ascii="Georgia" w:cs="Georgia" w:eastAsia="Georgia" w:hAnsi="Georgia"/>
          <w:color w:val="111111"/>
          <w:sz w:val="22"/>
          <w:szCs w:val="22"/>
        </w:rPr>
        <w:t xml:space="preserve"> The statistical morphology of the human cortex and the large-scale filament-and-void structure of the observable universe are indistinguishable within measurement error across a specified range of scales[5][6].</w:t>
      </w:r>
    </w:p>
    <w:p>
      <w:pPr>
        <w:pStyle w:val="ListParagraph"/>
        <w:numPr>
          <w:ilvl w:val="0"/>
          <w:numId w:val="2"/>
        </w:numPr>
        <w:spacing w:after="100" w:line="300"/>
      </w:pPr>
      <w:r>
        <w:rPr>
          <w:rFonts w:ascii="Georgia" w:cs="Georgia" w:eastAsia="Georgia" w:hAnsi="Georgia"/>
          <w:b/>
          <w:bCs/>
          <w:color w:val="111111"/>
          <w:sz w:val="22"/>
          <w:szCs w:val="22"/>
        </w:rPr>
        <w:t xml:space="preserve">Quantum coherence in biological structure.</w:t>
      </w:r>
      <w:r>
        <w:rPr>
          <w:rFonts w:ascii="Georgia" w:cs="Georgia" w:eastAsia="Georgia" w:hAnsi="Georgia"/>
          <w:color w:val="111111"/>
          <w:sz w:val="22"/>
          <w:szCs w:val="22"/>
        </w:rPr>
        <w:t xml:space="preserve"> Microtubule geometry supports the theoretical conditions for coherent processing at physiological temperature under the Penrose–Hameroff Orch-OR framework — a hypothesis, not a settled fact, but a hypothesis with a defined empirical programme [7].</w:t>
      </w:r>
    </w:p>
    <w:p>
      <w:pPr>
        <w:pStyle w:val="ListParagraph"/>
        <w:numPr>
          <w:ilvl w:val="0"/>
          <w:numId w:val="2"/>
        </w:numPr>
        <w:spacing w:after="100" w:line="300"/>
      </w:pPr>
      <w:r>
        <w:rPr>
          <w:rFonts w:ascii="Georgia" w:cs="Georgia" w:eastAsia="Georgia" w:hAnsi="Georgia"/>
          <w:b/>
          <w:bCs/>
          <w:color w:val="111111"/>
          <w:sz w:val="22"/>
          <w:szCs w:val="22"/>
        </w:rPr>
        <w:t xml:space="preserve">Synaptic information capacity.</w:t>
      </w:r>
      <w:r>
        <w:rPr>
          <w:rFonts w:ascii="Georgia" w:cs="Georgia" w:eastAsia="Georgia" w:hAnsi="Georgia"/>
          <w:color w:val="111111"/>
          <w:sz w:val="22"/>
          <w:szCs w:val="22"/>
        </w:rPr>
        <w:t xml:space="preserve"> The memory-carrying capacity of a single synapse, measured directly, is at least an order of magnitude larger than standard models assumed — consistent with a receiver whose storage is graded rather than binary[8].</w:t>
      </w:r>
    </w:p>
    <w:p>
      <w:pPr>
        <w:pStyle w:val="ListParagraph"/>
        <w:numPr>
          <w:ilvl w:val="0"/>
          <w:numId w:val="2"/>
        </w:numPr>
        <w:spacing w:after="100" w:line="300"/>
      </w:pPr>
      <w:r>
        <w:rPr>
          <w:rFonts w:ascii="Georgia" w:cs="Georgia" w:eastAsia="Georgia" w:hAnsi="Georgia"/>
          <w:b/>
          <w:bCs/>
          <w:color w:val="111111"/>
          <w:sz w:val="22"/>
          <w:szCs w:val="22"/>
        </w:rPr>
        <w:t xml:space="preserve">Empirical scaffolding at LBNL.</w:t>
      </w:r>
      <w:r>
        <w:rPr>
          <w:rFonts w:ascii="Georgia" w:cs="Georgia" w:eastAsia="Georgia" w:hAnsi="Georgia"/>
          <w:color w:val="111111"/>
          <w:sz w:val="22"/>
          <w:szCs w:val="22"/>
        </w:rPr>
        <w:t xml:space="preserve"> Appendix L of </w:t>
      </w:r>
      <w:r>
        <w:rPr>
          <w:rFonts w:ascii="Georgia" w:cs="Georgia" w:eastAsia="Georgia" w:hAnsi="Georgia"/>
          <w:i/>
          <w:iCs/>
          <w:color w:val="111111"/>
          <w:sz w:val="22"/>
          <w:szCs w:val="22"/>
        </w:rPr>
        <w:t xml:space="preserve">The Luminous Braid</w:t>
      </w:r>
      <w:r>
        <w:rPr>
          <w:rFonts w:ascii="Georgia" w:cs="Georgia" w:eastAsia="Georgia" w:hAnsi="Georgia"/>
          <w:color w:val="111111"/>
          <w:sz w:val="22"/>
          <w:szCs w:val="22"/>
        </w:rPr>
        <w:t xml:space="preserve"> collects the ARPES and coherence-length measurements that the site's forty-eight-dimensional biophysical formalism was designed against; Appendix M supplies the modular exoskeleton[11][12][18][17].</w:t>
      </w:r>
    </w:p>
    <w:p>
      <w:pPr>
        <w:pStyle w:val="Heading2"/>
        <w:keepNext/>
        <w:spacing w:after="160" w:before="320"/>
      </w:pPr>
      <w:r>
        <w:rPr>
          <w:rFonts w:ascii="Georgia" w:cs="Georgia" w:eastAsia="Georgia" w:hAnsi="Georgia"/>
          <w:b/>
          <w:bCs/>
          <w:color w:val="111111"/>
          <w:sz w:val="26"/>
          <w:szCs w:val="26"/>
        </w:rPr>
        <w:t xml:space="preserve">IV. The Open Bridges</w:t>
      </w:r>
    </w:p>
    <w:p>
      <w:pPr>
        <w:spacing w:after="160" w:line="300"/>
      </w:pPr>
      <w:r>
        <w:rPr>
          <w:rFonts w:ascii="Georgia" w:cs="Georgia" w:eastAsia="Georgia" w:hAnsi="Georgia"/>
          <w:color w:val="111111"/>
          <w:sz w:val="22"/>
          <w:szCs w:val="22"/>
        </w:rPr>
        <w:t xml:space="preserve">The remaining links are open. Naming them is the point of the chapter; hiding them would be exactly the kind of move the previous eight chapters have refused to make.</w:t>
      </w:r>
    </w:p>
    <w:p>
      <w:pPr>
        <w:pStyle w:val="ListParagraph"/>
        <w:numPr>
          <w:ilvl w:val="0"/>
          <w:numId w:val="5"/>
        </w:numPr>
        <w:spacing w:after="100" w:line="300"/>
      </w:pPr>
      <w:r>
        <w:rPr>
          <w:rFonts w:ascii="Georgia" w:cs="Georgia" w:eastAsia="Georgia" w:hAnsi="Georgia"/>
          <w:b/>
          <w:bCs/>
          <w:color w:val="111111"/>
          <w:sz w:val="22"/>
          <w:szCs w:val="22"/>
        </w:rPr>
        <w:t xml:space="preserve">Bridge 1 · From ζ to substrate.</w:t>
      </w:r>
      <w:r>
        <w:rPr>
          <w:rFonts w:ascii="Georgia" w:cs="Georgia" w:eastAsia="Georgia" w:hAnsi="Georgia"/>
          <w:color w:val="111111"/>
          <w:sz w:val="22"/>
          <w:szCs w:val="22"/>
        </w:rPr>
        <w:t xml:space="preserve"> A physical operator whose spectrum </w:t>
      </w:r>
      <w:r>
        <w:rPr>
          <w:rFonts w:ascii="Georgia" w:cs="Georgia" w:eastAsia="Georgia" w:hAnsi="Georgia"/>
          <w:i/>
          <w:iCs/>
          <w:color w:val="111111"/>
          <w:sz w:val="22"/>
          <w:szCs w:val="22"/>
        </w:rPr>
        <w:t xml:space="preserve">is</w:t>
      </w:r>
      <w:r>
        <w:rPr>
          <w:rFonts w:ascii="Georgia" w:cs="Georgia" w:eastAsia="Georgia" w:hAnsi="Georgia"/>
          <w:color w:val="111111"/>
          <w:sz w:val="22"/>
          <w:szCs w:val="22"/>
        </w:rPr>
        <w:t xml:space="preserve"> the non-trivial zeros of ζ(</w:t>
      </w:r>
      <w:r>
        <w:rPr>
          <w:rFonts w:ascii="Georgia" w:cs="Georgia" w:eastAsia="Georgia" w:hAnsi="Georgia"/>
          <w:i/>
          <w:iCs/>
          <w:color w:val="111111"/>
          <w:sz w:val="22"/>
          <w:szCs w:val="22"/>
        </w:rPr>
        <w:t xml:space="preserve">s</w:t>
      </w:r>
      <w:r>
        <w:rPr>
          <w:rFonts w:ascii="Georgia" w:cs="Georgia" w:eastAsia="Georgia" w:hAnsi="Georgia"/>
          <w:color w:val="111111"/>
          <w:sz w:val="22"/>
          <w:szCs w:val="22"/>
        </w:rPr>
        <w:t xml:space="preserve">) — the Hilbert–Pólya operator — remains hypothetical. Closure would require either its explicit construction, or an equivalent result showing that any substrate satisfying a minimal set of coherence axioms must exhibit that spectrum [21].</w:t>
      </w:r>
    </w:p>
    <w:p>
      <w:pPr>
        <w:pStyle w:val="ListParagraph"/>
        <w:numPr>
          <w:ilvl w:val="0"/>
          <w:numId w:val="5"/>
        </w:numPr>
        <w:spacing w:after="100" w:line="300"/>
      </w:pPr>
      <w:r>
        <w:rPr>
          <w:rFonts w:ascii="Georgia" w:cs="Georgia" w:eastAsia="Georgia" w:hAnsi="Georgia"/>
          <w:b/>
          <w:bCs/>
          <w:color w:val="111111"/>
          <w:sz w:val="22"/>
          <w:szCs w:val="22"/>
        </w:rPr>
        <w:t xml:space="preserve">Bridge 2 · From substrate to biology.</w:t>
      </w:r>
      <w:r>
        <w:rPr>
          <w:rFonts w:ascii="Georgia" w:cs="Georgia" w:eastAsia="Georgia" w:hAnsi="Georgia"/>
          <w:color w:val="111111"/>
          <w:sz w:val="22"/>
          <w:szCs w:val="22"/>
        </w:rPr>
        <w:t xml:space="preserve"> The step from a spectral substrate to a living antenna is, today, an inference by analogy supported by fractal morphology and coherence-length measurements. Closure would require a quantitative model in which the geometry of a microtubule (or a comparable structure) is derived from, not fitted to, the ridge condition[7][9].</w:t>
      </w:r>
    </w:p>
    <w:p>
      <w:pPr>
        <w:pStyle w:val="ListParagraph"/>
        <w:numPr>
          <w:ilvl w:val="0"/>
          <w:numId w:val="5"/>
        </w:numPr>
        <w:spacing w:after="100" w:line="300"/>
      </w:pPr>
      <w:r>
        <w:rPr>
          <w:rFonts w:ascii="Georgia" w:cs="Georgia" w:eastAsia="Georgia" w:hAnsi="Georgia"/>
          <w:b/>
          <w:bCs/>
          <w:color w:val="111111"/>
          <w:sz w:val="22"/>
          <w:szCs w:val="22"/>
        </w:rPr>
        <w:t xml:space="preserve">Bridge 3 · From biology to cognition.</w:t>
      </w:r>
      <w:r>
        <w:rPr>
          <w:rFonts w:ascii="Georgia" w:cs="Georgia" w:eastAsia="Georgia" w:hAnsi="Georgia"/>
          <w:color w:val="111111"/>
          <w:sz w:val="22"/>
          <w:szCs w:val="22"/>
        </w:rPr>
        <w:t xml:space="preserve"> The cortex-as-cosmic-receiver reading rests on morphological resemblance and on the network-neuroscience literature around maintained coherence. Closure would require a testable prediction that follows from the ridge condition and is </w:t>
      </w:r>
      <w:r>
        <w:rPr>
          <w:rFonts w:ascii="Georgia" w:cs="Georgia" w:eastAsia="Georgia" w:hAnsi="Georgia"/>
          <w:i/>
          <w:iCs/>
          <w:color w:val="111111"/>
          <w:sz w:val="22"/>
          <w:szCs w:val="22"/>
        </w:rPr>
        <w:t xml:space="preserve">not</w:t>
      </w:r>
      <w:r>
        <w:rPr>
          <w:rFonts w:ascii="Georgia" w:cs="Georgia" w:eastAsia="Georgia" w:hAnsi="Georgia"/>
          <w:color w:val="111111"/>
          <w:sz w:val="22"/>
          <w:szCs w:val="22"/>
        </w:rPr>
        <w:t xml:space="preserve"> predicted by standard connectomics — a difference the two frameworks disagree on in advance [14].</w:t>
      </w:r>
    </w:p>
    <w:p>
      <w:pPr>
        <w:pStyle w:val="ListParagraph"/>
        <w:numPr>
          <w:ilvl w:val="0"/>
          <w:numId w:val="5"/>
        </w:numPr>
        <w:spacing w:after="100" w:line="300"/>
      </w:pPr>
      <w:r>
        <w:rPr>
          <w:rFonts w:ascii="Georgia" w:cs="Georgia" w:eastAsia="Georgia" w:hAnsi="Georgia"/>
          <w:b/>
          <w:bCs/>
          <w:color w:val="111111"/>
          <w:sz w:val="22"/>
          <w:szCs w:val="22"/>
        </w:rPr>
        <w:t xml:space="preserve">Bridge 4 · From cognition to culture.</w:t>
      </w:r>
      <w:r>
        <w:rPr>
          <w:rFonts w:ascii="Georgia" w:cs="Georgia" w:eastAsia="Georgia" w:hAnsi="Georgia"/>
          <w:color w:val="111111"/>
          <w:sz w:val="22"/>
          <w:szCs w:val="22"/>
        </w:rPr>
        <w:t xml:space="preserve"> The argument that language and institutions are further apertures of the same receiver is, at present, an observational claim supported by the essays cited in Chapter 11. Closure would require a formal criterion distinguishing a cultural form that widens the aperture from one that narrows it — one that survives contact with historical counter-examples.</w:t>
      </w:r>
    </w:p>
    <w:p>
      <w:pPr>
        <w:pStyle w:val="Heading2"/>
        <w:keepNext/>
        <w:spacing w:after="160" w:before="320"/>
      </w:pPr>
      <w:r>
        <w:rPr>
          <w:rFonts w:ascii="Georgia" w:cs="Georgia" w:eastAsia="Georgia" w:hAnsi="Georgia"/>
          <w:b/>
          <w:bCs/>
          <w:color w:val="111111"/>
          <w:sz w:val="26"/>
          <w:szCs w:val="26"/>
        </w:rPr>
        <w:t xml:space="preserve">V. What Would Falsify It</w:t>
      </w:r>
    </w:p>
    <w:p>
      <w:pPr>
        <w:spacing w:after="160" w:line="300"/>
      </w:pPr>
      <w:r>
        <w:rPr>
          <w:rFonts w:ascii="Georgia" w:cs="Georgia" w:eastAsia="Georgia" w:hAnsi="Georgia"/>
          <w:color w:val="111111"/>
          <w:sz w:val="22"/>
          <w:szCs w:val="22"/>
        </w:rPr>
        <w:t xml:space="preserve">A derivation that cannot fail is not a derivation[19]. The claim laid out in this book would be refuted, in the ordinary scientific sense, by any of the following:</w:t>
      </w:r>
    </w:p>
    <w:p>
      <w:pPr>
        <w:pStyle w:val="ListParagraph"/>
        <w:numPr>
          <w:ilvl w:val="0"/>
          <w:numId w:val="2"/>
        </w:numPr>
        <w:spacing w:after="100" w:line="300"/>
      </w:pPr>
      <w:r>
        <w:rPr>
          <w:rFonts w:ascii="Georgia" w:cs="Georgia" w:eastAsia="Georgia" w:hAnsi="Georgia"/>
          <w:color w:val="111111"/>
          <w:sz w:val="22"/>
          <w:szCs w:val="22"/>
        </w:rPr>
        <w:t xml:space="preserve">A demonstration that the pair-correlation match between the Riemann zeros and random-matrix statistics is coincidental — for instance, a broad class of unrelated L-functions exhibiting the same statistics without any underlying spectral operator.</w:t>
      </w:r>
    </w:p>
    <w:p>
      <w:pPr>
        <w:pStyle w:val="ListParagraph"/>
        <w:numPr>
          <w:ilvl w:val="0"/>
          <w:numId w:val="2"/>
        </w:numPr>
        <w:spacing w:after="100" w:line="300"/>
      </w:pPr>
      <w:r>
        <w:rPr>
          <w:rFonts w:ascii="Georgia" w:cs="Georgia" w:eastAsia="Georgia" w:hAnsi="Georgia"/>
          <w:color w:val="111111"/>
          <w:sz w:val="22"/>
          <w:szCs w:val="22"/>
        </w:rPr>
        <w:t xml:space="preserve">A direct measurement of microtubule dynamics ruling out quantum coherence at the timescales the Orch-OR framework requires, closing that route to the receiver claim [7].</w:t>
      </w:r>
    </w:p>
    <w:p>
      <w:pPr>
        <w:pStyle w:val="ListParagraph"/>
        <w:numPr>
          <w:ilvl w:val="0"/>
          <w:numId w:val="2"/>
        </w:numPr>
        <w:spacing w:after="100" w:line="300"/>
      </w:pPr>
      <w:r>
        <w:rPr>
          <w:rFonts w:ascii="Georgia" w:cs="Georgia" w:eastAsia="Georgia" w:hAnsi="Georgia"/>
          <w:color w:val="111111"/>
          <w:sz w:val="22"/>
          <w:szCs w:val="22"/>
        </w:rPr>
        <w:t xml:space="preserve">A dense-connectomic reconstruction showing that the cortex-cosmic-web resemblance breaks down at higher resolution — that the two structures diverge, rather than converge, as the imaging improves [5].</w:t>
      </w:r>
    </w:p>
    <w:p>
      <w:pPr>
        <w:pStyle w:val="ListParagraph"/>
        <w:numPr>
          <w:ilvl w:val="0"/>
          <w:numId w:val="2"/>
        </w:numPr>
        <w:spacing w:after="100" w:line="300"/>
      </w:pPr>
      <w:r>
        <w:rPr>
          <w:rFonts w:ascii="Georgia" w:cs="Georgia" w:eastAsia="Georgia" w:hAnsi="Georgia"/>
          <w:color w:val="111111"/>
          <w:sz w:val="22"/>
          <w:szCs w:val="22"/>
        </w:rPr>
        <w:t xml:space="preserve">A worked cultural counter-example: a durable institution that widened human coherence over long time by </w:t>
      </w:r>
      <w:r>
        <w:rPr>
          <w:rFonts w:ascii="Georgia" w:cs="Georgia" w:eastAsia="Georgia" w:hAnsi="Georgia"/>
          <w:i/>
          <w:iCs/>
          <w:color w:val="111111"/>
          <w:sz w:val="22"/>
          <w:szCs w:val="22"/>
        </w:rPr>
        <w:t xml:space="preserve">rigid</w:t>
      </w:r>
      <w:r>
        <w:rPr>
          <w:rFonts w:ascii="Georgia" w:cs="Georgia" w:eastAsia="Georgia" w:hAnsi="Georgia"/>
          <w:color w:val="111111"/>
          <w:sz w:val="22"/>
          <w:szCs w:val="22"/>
        </w:rPr>
        <w:t xml:space="preserve"> certainty rather than by open inquiry, showing that the aperture axiom mistakes correlation for cause.</w:t>
      </w:r>
    </w:p>
    <w:p>
      <w:pPr>
        <w:spacing w:after="160" w:line="300"/>
      </w:pPr>
      <w:r>
        <w:rPr>
          <w:rFonts w:ascii="Georgia" w:cs="Georgia" w:eastAsia="Georgia" w:hAnsi="Georgia"/>
          <w:color w:val="111111"/>
          <w:sz w:val="22"/>
          <w:szCs w:val="22"/>
        </w:rPr>
        <w:t xml:space="preserve">None of these is idle. Each is the kind of result a working research group could produce inside a decade. The purpose of writing them down is to keep the argument honest: if the derivation is right, these results will not come; if the derivation is wrong, one of them will.</w:t>
      </w:r>
    </w:p>
    <w:p>
      <w:pPr>
        <w:pStyle w:val="Heading2"/>
        <w:keepNext/>
        <w:spacing w:after="160" w:before="320"/>
      </w:pPr>
      <w:r>
        <w:rPr>
          <w:rFonts w:ascii="Georgia" w:cs="Georgia" w:eastAsia="Georgia" w:hAnsi="Georgia"/>
          <w:b/>
          <w:bCs/>
          <w:color w:val="111111"/>
          <w:sz w:val="26"/>
          <w:szCs w:val="26"/>
        </w:rPr>
        <w:t xml:space="preserve">VI. A Research Program</w:t>
      </w:r>
    </w:p>
    <w:p>
      <w:pPr>
        <w:spacing w:after="160" w:line="300"/>
      </w:pPr>
      <w:r>
        <w:rPr>
          <w:rFonts w:ascii="Georgia" w:cs="Georgia" w:eastAsia="Georgia" w:hAnsi="Georgia"/>
          <w:color w:val="111111"/>
          <w:sz w:val="22"/>
          <w:szCs w:val="22"/>
        </w:rPr>
        <w:t xml:space="preserve">What follows from all of this is not a manifesto but a working list — a short set of experiments and analyses that, taken together, would move the argument from derivation toward proof, or expose the weak link that ends it.</w:t>
      </w:r>
    </w:p>
    <w:p>
      <w:pPr>
        <w:pStyle w:val="ListParagraph"/>
        <w:numPr>
          <w:ilvl w:val="0"/>
          <w:numId w:val="6"/>
        </w:numPr>
        <w:spacing w:after="100" w:line="300"/>
      </w:pPr>
      <w:r>
        <w:rPr>
          <w:rFonts w:ascii="Georgia" w:cs="Georgia" w:eastAsia="Georgia" w:hAnsi="Georgia"/>
          <w:b/>
          <w:bCs/>
          <w:color w:val="111111"/>
          <w:sz w:val="22"/>
          <w:szCs w:val="22"/>
        </w:rPr>
        <w:t xml:space="preserve">Spectral construction.</w:t>
      </w:r>
      <w:r>
        <w:rPr>
          <w:rFonts w:ascii="Georgia" w:cs="Georgia" w:eastAsia="Georgia" w:hAnsi="Georgia"/>
          <w:color w:val="111111"/>
          <w:sz w:val="22"/>
          <w:szCs w:val="22"/>
        </w:rPr>
        <w:t xml:space="preserve"> Continue the Hilbert–Pólya program with the tools of quantum chaos and operator theory, treating the ridge as a physical constraint rather than a numerical one[21].</w:t>
      </w:r>
    </w:p>
    <w:p>
      <w:pPr>
        <w:pStyle w:val="ListParagraph"/>
        <w:numPr>
          <w:ilvl w:val="0"/>
          <w:numId w:val="6"/>
        </w:numPr>
        <w:spacing w:after="100" w:line="300"/>
      </w:pPr>
      <w:r>
        <w:rPr>
          <w:rFonts w:ascii="Georgia" w:cs="Georgia" w:eastAsia="Georgia" w:hAnsi="Georgia"/>
          <w:b/>
          <w:bCs/>
          <w:color w:val="111111"/>
          <w:sz w:val="22"/>
          <w:szCs w:val="22"/>
        </w:rPr>
        <w:t xml:space="preserve">Coherence-length experiments.</w:t>
      </w:r>
      <w:r>
        <w:rPr>
          <w:rFonts w:ascii="Georgia" w:cs="Georgia" w:eastAsia="Georgia" w:hAnsi="Georgia"/>
          <w:color w:val="111111"/>
          <w:sz w:val="22"/>
          <w:szCs w:val="22"/>
        </w:rPr>
        <w:t xml:space="preserve"> Extend the ARPES and coherence-length work catalogued in Appendix L into biological samples, following the protocol the appendix already specifies [11][18].</w:t>
      </w:r>
    </w:p>
    <w:p>
      <w:pPr>
        <w:pStyle w:val="ListParagraph"/>
        <w:numPr>
          <w:ilvl w:val="0"/>
          <w:numId w:val="6"/>
        </w:numPr>
        <w:spacing w:after="100" w:line="300"/>
      </w:pPr>
      <w:r>
        <w:rPr>
          <w:rFonts w:ascii="Georgia" w:cs="Georgia" w:eastAsia="Georgia" w:hAnsi="Georgia"/>
          <w:b/>
          <w:bCs/>
          <w:color w:val="111111"/>
          <w:sz w:val="22"/>
          <w:szCs w:val="22"/>
        </w:rPr>
        <w:t xml:space="preserve">Predictive connectomics.</w:t>
      </w:r>
      <w:r>
        <w:rPr>
          <w:rFonts w:ascii="Georgia" w:cs="Georgia" w:eastAsia="Georgia" w:hAnsi="Georgia"/>
          <w:color w:val="111111"/>
          <w:sz w:val="22"/>
          <w:szCs w:val="22"/>
        </w:rPr>
        <w:t xml:space="preserve"> Derive, in advance, one quantitative feature of the cortex that the ridge condition predicts and standard models do not, and let the next generation of dense reconstructions decide between them [14].</w:t>
      </w:r>
    </w:p>
    <w:p>
      <w:pPr>
        <w:pStyle w:val="ListParagraph"/>
        <w:numPr>
          <w:ilvl w:val="0"/>
          <w:numId w:val="6"/>
        </w:numPr>
        <w:spacing w:after="100" w:line="300"/>
      </w:pPr>
      <w:r>
        <w:rPr>
          <w:rFonts w:ascii="Georgia" w:cs="Georgia" w:eastAsia="Georgia" w:hAnsi="Georgia"/>
          <w:b/>
          <w:bCs/>
          <w:color w:val="111111"/>
          <w:sz w:val="22"/>
          <w:szCs w:val="22"/>
        </w:rPr>
        <w:t xml:space="preserve">Cultural-aperture case studies.</w:t>
      </w:r>
      <w:r>
        <w:rPr>
          <w:rFonts w:ascii="Georgia" w:cs="Georgia" w:eastAsia="Georgia" w:hAnsi="Georgia"/>
          <w:color w:val="111111"/>
          <w:sz w:val="22"/>
          <w:szCs w:val="22"/>
        </w:rPr>
        <w:t xml:space="preserve"> Assemble a small set of historical institutions and score them, using an explicit criterion, on whether they widened or narrowed the receiver's bandwidth — and check the score against known outcomes.</w:t>
      </w:r>
    </w:p>
    <w:p>
      <w:pPr>
        <w:pStyle w:val="Heading2"/>
        <w:keepNext/>
        <w:spacing w:after="160" w:before="320"/>
      </w:pPr>
      <w:r>
        <w:rPr>
          <w:rFonts w:ascii="Georgia" w:cs="Georgia" w:eastAsia="Georgia" w:hAnsi="Georgia"/>
          <w:b/>
          <w:bCs/>
          <w:color w:val="111111"/>
          <w:sz w:val="26"/>
          <w:szCs w:val="26"/>
        </w:rPr>
        <w:t xml:space="preserve">Appendix 9.A · The Quantum-Arithmetic Biological Interface</w:t>
      </w:r>
    </w:p>
    <w:p>
      <w:pPr>
        <w:spacing w:after="160" w:line="300"/>
      </w:pPr>
      <w:r>
        <w:rPr>
          <w:rFonts w:ascii="Georgia" w:cs="Georgia" w:eastAsia="Georgia" w:hAnsi="Georgia"/>
          <w:b/>
          <w:bCs/>
          <w:color w:val="111111"/>
          <w:sz w:val="22"/>
          <w:szCs w:val="22"/>
        </w:rPr>
        <w:t xml:space="preserve">Objective.</w:t>
      </w:r>
      <w:r>
        <w:rPr>
          <w:rFonts w:ascii="Georgia" w:cs="Georgia" w:eastAsia="Georgia" w:hAnsi="Georgia"/>
          <w:color w:val="111111"/>
          <w:sz w:val="22"/>
          <w:szCs w:val="22"/>
        </w:rPr>
        <w:t xml:space="preserve"> To demonstrate that the structural architecture of the cellular matrix (microtubules and DNA) and integrated physiological states (extended respiration) function as an active </w:t>
      </w:r>
      <w:r>
        <w:rPr>
          <w:rFonts w:ascii="Georgia" w:cs="Georgia" w:eastAsia="Georgia" w:hAnsi="Georgia"/>
          <w:i/>
          <w:iCs/>
          <w:color w:val="111111"/>
          <w:sz w:val="22"/>
          <w:szCs w:val="22"/>
        </w:rPr>
        <w:t xml:space="preserve">eigenvalue selector</w:t>
      </w:r>
      <w:r>
        <w:rPr>
          <w:rFonts w:ascii="Georgia" w:cs="Georgia" w:eastAsia="Georgia" w:hAnsi="Georgia"/>
          <w:color w:val="111111"/>
          <w:sz w:val="22"/>
          <w:szCs w:val="22"/>
        </w:rPr>
        <w:t xml:space="preserve"> that phase-locks against environmental noise using the mathematical distribution of the Riemann critical line. The protocol is designed to test whether living cells utilize the same spacing statistics as an active error-correcting waveguide to minimize entropy.</w:t>
      </w:r>
    </w:p>
    <w:p>
      <w:pPr>
        <w:spacing w:after="160" w:line="300"/>
      </w:pPr>
      <w:r>
        <w:rPr>
          <w:rFonts w:ascii="Georgia" w:cs="Georgia" w:eastAsia="Georgia" w:hAnsi="Georgia"/>
          <w:b/>
          <w:bCs/>
          <w:color w:val="111111"/>
          <w:sz w:val="22"/>
          <w:szCs w:val="22"/>
        </w:rPr>
        <w:t xml:space="preserve">Working hypothesis.</w:t>
      </w:r>
      <w:r>
        <w:rPr>
          <w:rFonts w:ascii="Georgia" w:cs="Georgia" w:eastAsia="Georgia" w:hAnsi="Georgia"/>
          <w:color w:val="111111"/>
          <w:sz w:val="22"/>
          <w:szCs w:val="22"/>
        </w:rPr>
        <w:t xml:space="preserve"> Biological life operates as a fractal hierarchy of respiration — a cosmic inhale and exhale — in which the organism continually reformats its internal wave-geometry to hold minimum drag inside the fluid-wave substrate. Successful execution of this protocol would establish biological optimization as a rigorous mathematical alignment with the number-theoretic scaffolding of the universe, not a metaphor for it. The five phases below are staged to produce that verdict, or to falsify it.</w:t>
      </w:r>
    </w:p>
    <w:p>
      <w:pPr>
        <w:spacing w:after="160" w:line="300"/>
      </w:pPr>
      <w:r>
        <w:rPr>
          <w:rFonts w:ascii="Georgia" w:cs="Georgia" w:eastAsia="Georgia" w:hAnsi="Georgia"/>
          <w:b/>
          <w:bCs/>
          <w:color w:val="111111"/>
          <w:sz w:val="22"/>
          <w:szCs w:val="22"/>
        </w:rPr>
        <w:t xml:space="preserve">Guardrail (KW Norton).</w:t>
      </w:r>
      <w:r>
        <w:rPr>
          <w:rFonts w:ascii="Georgia" w:cs="Georgia" w:eastAsia="Georgia" w:hAnsi="Georgia"/>
          <w:color w:val="111111"/>
          <w:sz w:val="22"/>
          <w:szCs w:val="22"/>
        </w:rPr>
        <w:t xml:space="preserve"> This protocol is deliberately confined to low-energy, resonance-based measurement — FRET, femtosecond spectroscopy, structured light at biologically survivable intensities, ambient RF, and non-invasive human telemetry. It explicitly excludes the class of Newtonian-mechanics-derived, high-energy collision experiments typified by CERN-style facilities. The interface being tested is spectral and geometric, not impactive; forcing it with kinetic energies that shatter the very lattices under study would destroy the signal the protocol is designed to read.</w:t>
      </w:r>
    </w:p>
    <w:p>
      <w:pPr>
        <w:pStyle w:val="Heading3"/>
        <w:keepNext/>
        <w:spacing w:after="160" w:before="320"/>
      </w:pPr>
      <w:r>
        <w:rPr>
          <w:rFonts w:ascii="Georgia" w:cs="Georgia" w:eastAsia="Georgia" w:hAnsi="Georgia"/>
          <w:b/>
          <w:bCs/>
          <w:color w:val="111111"/>
          <w:sz w:val="23"/>
          <w:szCs w:val="23"/>
        </w:rPr>
        <w:t xml:space="preserve">Phase I · Isolate the Macromolecular Substrates</w:t>
      </w:r>
    </w:p>
    <w:p>
      <w:pPr>
        <w:spacing w:after="160" w:line="300"/>
      </w:pPr>
      <w:r>
        <w:rPr>
          <w:rFonts w:ascii="Georgia" w:cs="Georgia" w:eastAsia="Georgia" w:hAnsi="Georgia"/>
          <w:color w:val="111111"/>
          <w:sz w:val="22"/>
          <w:szCs w:val="22"/>
        </w:rPr>
        <w:t xml:space="preserve">The interface can only be verified once the two principal biological antennae are pulled cleanly out of the ambient physiology: the cytoskeletal microtubule network and the helical DNA archive.</w:t>
      </w:r>
    </w:p>
    <w:p>
      <w:pPr>
        <w:pStyle w:val="ListParagraph"/>
        <w:numPr>
          <w:ilvl w:val="0"/>
          <w:numId w:val="2"/>
        </w:numPr>
        <w:spacing w:after="100" w:line="300"/>
      </w:pPr>
      <w:r>
        <w:rPr>
          <w:rFonts w:ascii="Georgia" w:cs="Georgia" w:eastAsia="Georgia" w:hAnsi="Georgia"/>
          <w:b/>
          <w:bCs/>
          <w:color w:val="111111"/>
          <w:sz w:val="22"/>
          <w:szCs w:val="22"/>
        </w:rPr>
        <w:t xml:space="preserve">Substrate A · Microtubules.</w:t>
      </w:r>
      <w:r>
        <w:rPr>
          <w:rFonts w:ascii="Georgia" w:cs="Georgia" w:eastAsia="Georgia" w:hAnsi="Georgia"/>
          <w:color w:val="111111"/>
          <w:sz w:val="22"/>
          <w:szCs w:val="22"/>
        </w:rPr>
        <w:t xml:space="preserve"> In vitro isolation of porcine or bovine brain tubulin, reassembled into stable synthetic 13-protofilament helical cylinders with a GTP-stabilized buffer — the geometry Chapter 4 treated as a quantum-biological antenna[7].</w:t>
      </w:r>
    </w:p>
    <w:p>
      <w:pPr>
        <w:pStyle w:val="ListParagraph"/>
        <w:numPr>
          <w:ilvl w:val="0"/>
          <w:numId w:val="2"/>
        </w:numPr>
        <w:spacing w:after="100" w:line="300"/>
      </w:pPr>
      <w:r>
        <w:rPr>
          <w:rFonts w:ascii="Georgia" w:cs="Georgia" w:eastAsia="Georgia" w:hAnsi="Georgia"/>
          <w:b/>
          <w:bCs/>
          <w:color w:val="111111"/>
          <w:sz w:val="22"/>
          <w:szCs w:val="22"/>
        </w:rPr>
        <w:t xml:space="preserve">Substrate B · DNA archive.</w:t>
      </w:r>
      <w:r>
        <w:rPr>
          <w:rFonts w:ascii="Georgia" w:cs="Georgia" w:eastAsia="Georgia" w:hAnsi="Georgia"/>
          <w:color w:val="111111"/>
          <w:sz w:val="22"/>
          <w:szCs w:val="22"/>
        </w:rPr>
        <w:t xml:space="preserve"> Long, non-fragmented coding genomic strands with a fully mapped base-pair array, preserving supercoiled topology and the structured-water hydration shell — the stair-stepped helix Chapter 6 read as a code of light.</w:t>
      </w:r>
    </w:p>
    <w:p>
      <w:pPr>
        <w:pStyle w:val="Heading3"/>
        <w:keepNext/>
        <w:spacing w:after="160" w:before="320"/>
      </w:pPr>
      <w:r>
        <w:rPr>
          <w:rFonts w:ascii="Georgia" w:cs="Georgia" w:eastAsia="Georgia" w:hAnsi="Georgia"/>
          <w:b/>
          <w:bCs/>
          <w:color w:val="111111"/>
          <w:sz w:val="23"/>
          <w:szCs w:val="23"/>
        </w:rPr>
        <w:t xml:space="preserve">Phase II · Measure Nanoscale Spectral Fingerprints</w:t>
      </w:r>
    </w:p>
    <w:p>
      <w:pPr>
        <w:spacing w:after="160" w:line="300"/>
      </w:pPr>
      <w:r>
        <w:rPr>
          <w:rFonts w:ascii="Georgia" w:cs="Georgia" w:eastAsia="Georgia" w:hAnsi="Georgia"/>
          <w:color w:val="111111"/>
          <w:sz w:val="22"/>
          <w:szCs w:val="22"/>
        </w:rPr>
        <w:t xml:space="preserve">This phase hunts for the quantum-biological processing pockets that insulate the substrate against thermodynamic noise.</w:t>
      </w:r>
    </w:p>
    <w:p>
      <w:pPr>
        <w:pStyle w:val="ListParagraph"/>
        <w:numPr>
          <w:ilvl w:val="0"/>
          <w:numId w:val="2"/>
        </w:numPr>
        <w:spacing w:after="100" w:line="300"/>
      </w:pPr>
      <w:r>
        <w:rPr>
          <w:rFonts w:ascii="Georgia" w:cs="Georgia" w:eastAsia="Georgia" w:hAnsi="Georgia"/>
          <w:b/>
          <w:bCs/>
          <w:color w:val="111111"/>
          <w:sz w:val="22"/>
          <w:szCs w:val="22"/>
        </w:rPr>
        <w:t xml:space="preserve">Methodology.</w:t>
      </w:r>
      <w:r>
        <w:rPr>
          <w:rFonts w:ascii="Georgia" w:cs="Georgia" w:eastAsia="Georgia" w:hAnsi="Georgia"/>
          <w:color w:val="111111"/>
          <w:sz w:val="22"/>
          <w:szCs w:val="22"/>
        </w:rPr>
        <w:t xml:space="preserve"> Ultra-fast Fluorescence Resonance Energy Transfer (FRET) and femtosecond laser spectroscopy.</w:t>
      </w:r>
    </w:p>
    <w:p>
      <w:pPr>
        <w:pStyle w:val="ListParagraph"/>
        <w:numPr>
          <w:ilvl w:val="0"/>
          <w:numId w:val="2"/>
        </w:numPr>
        <w:spacing w:after="100" w:line="300"/>
      </w:pPr>
      <w:r>
        <w:rPr>
          <w:rFonts w:ascii="Georgia" w:cs="Georgia" w:eastAsia="Georgia" w:hAnsi="Georgia"/>
          <w:b/>
          <w:bCs/>
          <w:color w:val="111111"/>
          <w:sz w:val="22"/>
          <w:szCs w:val="22"/>
        </w:rPr>
        <w:t xml:space="preserve">Target metric (tubulin).</w:t>
      </w:r>
      <w:r>
        <w:rPr>
          <w:rFonts w:ascii="Georgia" w:cs="Georgia" w:eastAsia="Georgia" w:hAnsi="Georgia"/>
          <w:color w:val="111111"/>
          <w:sz w:val="22"/>
          <w:szCs w:val="22"/>
        </w:rPr>
        <w:t xml:space="preserve"> Speed and coherence of exciton energy hopping across the hydrophobic tryptophan channels of the microtubule interior.</w:t>
      </w:r>
    </w:p>
    <w:p>
      <w:pPr>
        <w:pStyle w:val="ListParagraph"/>
        <w:numPr>
          <w:ilvl w:val="0"/>
          <w:numId w:val="2"/>
        </w:numPr>
        <w:spacing w:after="100" w:line="300"/>
      </w:pPr>
      <w:r>
        <w:rPr>
          <w:rFonts w:ascii="Georgia" w:cs="Georgia" w:eastAsia="Georgia" w:hAnsi="Georgia"/>
          <w:b/>
          <w:bCs/>
          <w:color w:val="111111"/>
          <w:sz w:val="22"/>
          <w:szCs w:val="22"/>
        </w:rPr>
        <w:t xml:space="preserve">Target metric (DNA).</w:t>
      </w:r>
      <w:r>
        <w:rPr>
          <w:rFonts w:ascii="Georgia" w:cs="Georgia" w:eastAsia="Georgia" w:hAnsi="Georgia"/>
          <w:color w:val="111111"/>
          <w:sz w:val="22"/>
          <w:szCs w:val="22"/>
        </w:rPr>
        <w:t xml:space="preserve"> Charge-transfer velocity along the base-stacking π-orbitals of the backbone under baseline low-entropy conditions.</w:t>
      </w:r>
    </w:p>
    <w:p>
      <w:pPr>
        <w:pStyle w:val="ListParagraph"/>
        <w:numPr>
          <w:ilvl w:val="0"/>
          <w:numId w:val="2"/>
        </w:numPr>
        <w:spacing w:after="100" w:line="300"/>
      </w:pPr>
      <w:r>
        <w:rPr>
          <w:rFonts w:ascii="Georgia" w:cs="Georgia" w:eastAsia="Georgia" w:hAnsi="Georgia"/>
          <w:b/>
          <w:bCs/>
          <w:color w:val="111111"/>
          <w:sz w:val="22"/>
          <w:szCs w:val="22"/>
        </w:rPr>
        <w:t xml:space="preserve">Arithmetic-noise floor.</w:t>
      </w:r>
      <w:r>
        <w:rPr>
          <w:rFonts w:ascii="Georgia" w:cs="Georgia" w:eastAsia="Georgia" w:hAnsi="Georgia"/>
          <w:color w:val="111111"/>
          <w:sz w:val="22"/>
          <w:szCs w:val="22"/>
        </w:rPr>
        <w:t xml:space="preserve"> Quantify the probability of quantum proton tunneling across the hydrogen bonds via the WKB approximation as a scalar measure of baseline noise:T ≈ exp( −2 ∫[x₁ → x₂] √( 2m [V(x) − E] / ℏ² ) dx )These fingerprints stand in for the unperturbed ground-state eigenvalues from which every subsequent measurement of spectral rigidity is referenced.</w:t>
      </w:r>
    </w:p>
    <w:p>
      <w:pPr>
        <w:pStyle w:val="Heading3"/>
        <w:keepNext/>
        <w:spacing w:after="160" w:before="320"/>
      </w:pPr>
      <w:r>
        <w:rPr>
          <w:rFonts w:ascii="Georgia" w:cs="Georgia" w:eastAsia="Georgia" w:hAnsi="Georgia"/>
          <w:b/>
          <w:bCs/>
          <w:color w:val="111111"/>
          <w:sz w:val="23"/>
          <w:szCs w:val="23"/>
        </w:rPr>
        <w:t xml:space="preserve">Phase III · Introduce Environmental and Torsional Stress</w:t>
      </w:r>
    </w:p>
    <w:p>
      <w:pPr>
        <w:spacing w:after="160" w:line="300"/>
      </w:pPr>
      <w:r>
        <w:rPr>
          <w:rFonts w:ascii="Georgia" w:cs="Georgia" w:eastAsia="Georgia" w:hAnsi="Georgia"/>
          <w:color w:val="111111"/>
          <w:sz w:val="22"/>
          <w:szCs w:val="22"/>
        </w:rPr>
        <w:t xml:space="preserve">To test the pressure-relief mechanics, the isolated substrates are driven out of equilibrium by controlled external fields.</w:t>
      </w:r>
    </w:p>
    <w:p>
      <w:pPr>
        <w:pStyle w:val="ListParagraph"/>
        <w:numPr>
          <w:ilvl w:val="0"/>
          <w:numId w:val="2"/>
        </w:numPr>
        <w:spacing w:after="100" w:line="300"/>
      </w:pPr>
      <w:r>
        <w:rPr>
          <w:rFonts w:ascii="Georgia" w:cs="Georgia" w:eastAsia="Georgia" w:hAnsi="Georgia"/>
          <w:b/>
          <w:bCs/>
          <w:color w:val="111111"/>
          <w:sz w:val="22"/>
          <w:szCs w:val="22"/>
        </w:rPr>
        <w:t xml:space="preserve">Mechanical torsion.</w:t>
      </w:r>
      <w:r>
        <w:rPr>
          <w:rFonts w:ascii="Georgia" w:cs="Georgia" w:eastAsia="Georgia" w:hAnsi="Georgia"/>
          <w:color w:val="111111"/>
          <w:sz w:val="22"/>
          <w:szCs w:val="22"/>
        </w:rPr>
        <w:t xml:space="preserve"> Structured light with orbital angular momentum (OAM / vortex beams) applies measurable torque to the chiral DNA helix, simulating environmental fluid shear. The topological charge </w:t>
      </w:r>
      <w:r>
        <w:rPr>
          <w:rFonts w:ascii="Georgia" w:cs="Georgia" w:eastAsia="Georgia" w:hAnsi="Georgia"/>
          <w:i/>
          <w:iCs/>
          <w:color w:val="111111"/>
          <w:sz w:val="22"/>
          <w:szCs w:val="22"/>
        </w:rPr>
        <w:t xml:space="preserve">ℓ</w:t>
      </w:r>
      <w:r>
        <w:rPr>
          <w:rFonts w:ascii="Georgia" w:cs="Georgia" w:eastAsia="Georgia" w:hAnsi="Georgia"/>
          <w:color w:val="111111"/>
          <w:sz w:val="22"/>
          <w:szCs w:val="22"/>
        </w:rPr>
        <w:t xml:space="preserve"> of the beam is tuned to the azimuthal angle of the targeted helical pitch so that phase-drag maps cleanly onto helical geometry.</w:t>
      </w:r>
    </w:p>
    <w:p>
      <w:pPr>
        <w:pStyle w:val="ListParagraph"/>
        <w:numPr>
          <w:ilvl w:val="0"/>
          <w:numId w:val="2"/>
        </w:numPr>
        <w:spacing w:after="100" w:line="300"/>
      </w:pPr>
      <w:r>
        <w:rPr>
          <w:rFonts w:ascii="Georgia" w:cs="Georgia" w:eastAsia="Georgia" w:hAnsi="Georgia"/>
          <w:b/>
          <w:bCs/>
          <w:color w:val="111111"/>
          <w:sz w:val="22"/>
          <w:szCs w:val="22"/>
        </w:rPr>
        <w:t xml:space="preserve">EMF load.</w:t>
      </w:r>
      <w:r>
        <w:rPr>
          <w:rFonts w:ascii="Georgia" w:cs="Georgia" w:eastAsia="Georgia" w:hAnsi="Georgia"/>
          <w:color w:val="111111"/>
          <w:sz w:val="22"/>
          <w:szCs w:val="22"/>
        </w:rPr>
        <w:t xml:space="preserve"> The microtubule lattice is bathed in a high-entropy, coherent artificial radiofrequency field (1–100 GHz) standing in for the anthropogenic technosphere mapped in Chapter 7. Collapse of the 13-protofilament symmetry is monitored as the primary failure mode.</w:t>
      </w:r>
    </w:p>
    <w:p>
      <w:pPr>
        <w:pStyle w:val="ListParagraph"/>
        <w:numPr>
          <w:ilvl w:val="0"/>
          <w:numId w:val="2"/>
        </w:numPr>
        <w:spacing w:after="100" w:line="300"/>
      </w:pPr>
      <w:r>
        <w:rPr>
          <w:rFonts w:ascii="Georgia" w:cs="Georgia" w:eastAsia="Georgia" w:hAnsi="Georgia"/>
          <w:b/>
          <w:bCs/>
          <w:color w:val="111111"/>
          <w:sz w:val="22"/>
          <w:szCs w:val="22"/>
        </w:rPr>
        <w:t xml:space="preserve">Drift threshold and venting.</w:t>
      </w:r>
      <w:r>
        <w:rPr>
          <w:rFonts w:ascii="Georgia" w:cs="Georgia" w:eastAsia="Georgia" w:hAnsi="Georgia"/>
          <w:color w:val="111111"/>
          <w:sz w:val="22"/>
          <w:szCs w:val="22"/>
        </w:rPr>
        <w:t xml:space="preserve"> The linking number </w:t>
      </w:r>
      <w:r>
        <w:rPr>
          <w:rFonts w:ascii="Georgia" w:cs="Georgia" w:eastAsia="Georgia" w:hAnsi="Georgia"/>
          <w:i/>
          <w:iCs/>
          <w:color w:val="111111"/>
          <w:sz w:val="22"/>
          <w:szCs w:val="22"/>
        </w:rPr>
        <w:t xml:space="preserve">Lk = Tw + Wr</w:t>
      </w:r>
      <w:r>
        <w:rPr>
          <w:rFonts w:ascii="Georgia" w:cs="Georgia" w:eastAsia="Georgia" w:hAnsi="Georgia"/>
          <w:color w:val="111111"/>
          <w:sz w:val="22"/>
          <w:szCs w:val="22"/>
        </w:rPr>
        <w:t xml:space="preserve"> is tracked in real time; any deviation with </w:t>
      </w:r>
      <w:r>
        <w:rPr>
          <w:rFonts w:ascii="Georgia" w:cs="Georgia" w:eastAsia="Georgia" w:hAnsi="Georgia"/>
          <w:i/>
          <w:iCs/>
          <w:color w:val="111111"/>
          <w:sz w:val="22"/>
          <w:szCs w:val="22"/>
        </w:rPr>
        <w:t xml:space="preserve">|ΔLk / Lk| &gt; 10[−4]</w:t>
      </w:r>
      <w:r>
        <w:rPr>
          <w:rFonts w:ascii="Georgia" w:cs="Georgia" w:eastAsia="Georgia" w:hAnsi="Georgia"/>
          <w:color w:val="111111"/>
          <w:sz w:val="22"/>
          <w:szCs w:val="22"/>
        </w:rPr>
        <w:t xml:space="preserve"> is flagged as torsional drift. Topoisomerase activity is recorded as the mechanical exhale by which the molecule vents accumulated phase friction and biophoton entropy.</w:t>
      </w:r>
    </w:p>
    <w:p>
      <w:pPr>
        <w:pStyle w:val="Heading3"/>
        <w:keepNext/>
        <w:spacing w:after="160" w:before="320"/>
      </w:pPr>
      <w:r>
        <w:rPr>
          <w:rFonts w:ascii="Georgia" w:cs="Georgia" w:eastAsia="Georgia" w:hAnsi="Georgia"/>
          <w:b/>
          <w:bCs/>
          <w:color w:val="111111"/>
          <w:sz w:val="23"/>
          <w:szCs w:val="23"/>
        </w:rPr>
        <w:t xml:space="preserve">Phase IV · In Vivo Human Physiological Synchronization</w:t>
      </w:r>
    </w:p>
    <w:p>
      <w:pPr>
        <w:spacing w:after="160" w:line="300"/>
      </w:pPr>
      <w:r>
        <w:rPr>
          <w:rFonts w:ascii="Georgia" w:cs="Georgia" w:eastAsia="Georgia" w:hAnsi="Georgia"/>
          <w:color w:val="111111"/>
          <w:sz w:val="22"/>
          <w:szCs w:val="22"/>
        </w:rPr>
        <w:t xml:space="preserve">To scale from test tube to living organism, human subjects are introduced to test the High-Dimensional Resonant Interface subroutines developed in Chapter 8.</w:t>
      </w:r>
    </w:p>
    <w:p>
      <w:pPr>
        <w:pStyle w:val="ListParagraph"/>
        <w:numPr>
          <w:ilvl w:val="0"/>
          <w:numId w:val="2"/>
        </w:numPr>
        <w:spacing w:after="100" w:line="300"/>
      </w:pPr>
      <w:r>
        <w:rPr>
          <w:rFonts w:ascii="Georgia" w:cs="Georgia" w:eastAsia="Georgia" w:hAnsi="Georgia"/>
          <w:b/>
          <w:bCs/>
          <w:color w:val="111111"/>
          <w:sz w:val="22"/>
          <w:szCs w:val="22"/>
        </w:rPr>
        <w:t xml:space="preserve">Group 1 · Baseline.</w:t>
      </w:r>
      <w:r>
        <w:rPr>
          <w:rFonts w:ascii="Georgia" w:cs="Georgia" w:eastAsia="Georgia" w:hAnsi="Georgia"/>
          <w:color w:val="111111"/>
          <w:sz w:val="22"/>
          <w:szCs w:val="22"/>
        </w:rPr>
        <w:t xml:space="preserve"> Subjects under normal chaotic environmental conditions, breathing at standard ~5-second intervals.</w:t>
      </w:r>
    </w:p>
    <w:p>
      <w:pPr>
        <w:pStyle w:val="ListParagraph"/>
        <w:numPr>
          <w:ilvl w:val="0"/>
          <w:numId w:val="2"/>
        </w:numPr>
        <w:spacing w:after="100" w:line="300"/>
      </w:pPr>
      <w:r>
        <w:rPr>
          <w:rFonts w:ascii="Georgia" w:cs="Georgia" w:eastAsia="Georgia" w:hAnsi="Georgia"/>
          <w:b/>
          <w:bCs/>
          <w:color w:val="111111"/>
          <w:sz w:val="22"/>
          <w:szCs w:val="22"/>
        </w:rPr>
        <w:t xml:space="preserve">Group 2 · Tuned antenna.</w:t>
      </w:r>
      <w:r>
        <w:rPr>
          <w:rFonts w:ascii="Georgia" w:cs="Georgia" w:eastAsia="Georgia" w:hAnsi="Georgia"/>
          <w:color w:val="111111"/>
          <w:sz w:val="22"/>
          <w:szCs w:val="22"/>
        </w:rPr>
        <w:t xml:space="preserve"> Subjects trained in extended respiratory waveguides — continuous, relaxed respiration cycles of 12–15 seconds per breath (modeled on free-diver equalization patterns, conducted without breath-holds ) — paired with disciplined Socratic open-loop cognitive exercises to prevent neural energy traps.</w:t>
      </w:r>
    </w:p>
    <w:p>
      <w:pPr>
        <w:pStyle w:val="ListParagraph"/>
        <w:numPr>
          <w:ilvl w:val="0"/>
          <w:numId w:val="2"/>
        </w:numPr>
        <w:spacing w:after="100" w:line="300"/>
      </w:pPr>
      <w:r>
        <w:rPr>
          <w:rFonts w:ascii="Georgia" w:cs="Georgia" w:eastAsia="Georgia" w:hAnsi="Georgia"/>
          <w:b/>
          <w:bCs/>
          <w:color w:val="111111"/>
          <w:sz w:val="22"/>
          <w:szCs w:val="22"/>
        </w:rPr>
        <w:t xml:space="preserve">Biophysical telemetry.</w:t>
      </w:r>
      <w:r>
        <w:rPr>
          <w:rFonts w:ascii="Georgia" w:cs="Georgia" w:eastAsia="Georgia" w:hAnsi="Georgia"/>
          <w:color w:val="111111"/>
          <w:sz w:val="22"/>
          <w:szCs w:val="22"/>
        </w:rPr>
        <w:t xml:space="preserve"> High-density EEG connectomic tracking, magnetoencephalography (MEG) for spintronic cortical fluctuations, and real-time heart-rate variability for vagal-brake activation, captured simultaneously across both groups.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Metric</w:t>
            </w:r>
          </w:p>
        </w:tc>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Instrument</w:t>
            </w:r>
          </w:p>
        </w:tc>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Objective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Connectomic tracking</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HD-EEG</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Map fractal, high-branching neural coherence.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Spintronic fluctuations</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MEG</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Capture subatomic cortical field fluctuations.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Vagal-brake activation</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Real-time HRV</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Monitor suppression of sympathetic entropy.</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Spectral-gap stability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Integrated flux</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Hold Δ = λ₁ − λ₀ &gt; 0 to prevent state collapse.</w:t>
            </w:r>
          </w:p>
        </w:tc>
      </w:tr>
    </w:tbl>
    <w:p>
      <w:pPr>
        <w:spacing w:after="120" w:line="300"/>
      </w:pPr>
      <w:r>
        <w:rPr>
          <w:rFonts w:ascii="Georgia" w:cs="Georgia" w:eastAsia="Georgia" w:hAnsi="Georgia"/>
          <w:color w:val="111111"/>
          <w:sz w:val="22"/>
          <w:szCs w:val="22"/>
        </w:rPr>
        <w:t xml:space="preserve"/>
      </w:r>
    </w:p>
    <w:p>
      <w:pPr>
        <w:pStyle w:val="Heading3"/>
        <w:keepNext/>
        <w:spacing w:after="160" w:before="320"/>
      </w:pPr>
      <w:r>
        <w:rPr>
          <w:rFonts w:ascii="Georgia" w:cs="Georgia" w:eastAsia="Georgia" w:hAnsi="Georgia"/>
          <w:b/>
          <w:bCs/>
          <w:color w:val="111111"/>
          <w:sz w:val="23"/>
          <w:szCs w:val="23"/>
        </w:rPr>
        <w:t xml:space="preserve">Phase V · Montgomery–Odlyzko Spectral Rigidity Analysis</w:t>
      </w:r>
    </w:p>
    <w:p>
      <w:pPr>
        <w:spacing w:after="160" w:line="300"/>
      </w:pPr>
      <w:r>
        <w:rPr>
          <w:rFonts w:ascii="Georgia" w:cs="Georgia" w:eastAsia="Georgia" w:hAnsi="Georgia"/>
          <w:color w:val="111111"/>
          <w:sz w:val="22"/>
          <w:szCs w:val="22"/>
        </w:rPr>
        <w:t xml:space="preserve">The definitive step runs the raw physical data through the mathematical matrix of the Riemann Hypothesis[3][21].</w:t>
      </w:r>
    </w:p>
    <w:p>
      <w:pPr>
        <w:pStyle w:val="ListParagraph"/>
        <w:numPr>
          <w:ilvl w:val="0"/>
          <w:numId w:val="2"/>
        </w:numPr>
        <w:spacing w:after="100" w:line="300"/>
      </w:pPr>
      <w:r>
        <w:rPr>
          <w:rFonts w:ascii="Georgia" w:cs="Georgia" w:eastAsia="Georgia" w:hAnsi="Georgia"/>
          <w:b/>
          <w:bCs/>
          <w:color w:val="111111"/>
          <w:sz w:val="22"/>
          <w:szCs w:val="22"/>
        </w:rPr>
        <w:t xml:space="preserve">Conversion.</w:t>
      </w:r>
      <w:r>
        <w:rPr>
          <w:rFonts w:ascii="Georgia" w:cs="Georgia" w:eastAsia="Georgia" w:hAnsi="Georgia"/>
          <w:color w:val="111111"/>
          <w:sz w:val="22"/>
          <w:szCs w:val="22"/>
        </w:rPr>
        <w:t xml:space="preserve"> Nested microtubule resonance frequencies (kHz / MHz / GHz), stressed-DNA base-pair spacing variances, and cortical oscillations from the human cohort are converted into normalized eigenvalue datasets </w:t>
      </w:r>
      <w:r>
        <w:rPr>
          <w:rFonts w:ascii="Georgia" w:cs="Georgia" w:eastAsia="Georgia" w:hAnsi="Georgia"/>
          <w:i/>
          <w:iCs/>
          <w:color w:val="111111"/>
          <w:sz w:val="22"/>
          <w:szCs w:val="22"/>
        </w:rPr>
        <w:t xml:space="preserve">{ eᵢ }</w:t>
      </w:r>
      <w:r>
        <w:rPr>
          <w:rFonts w:ascii="Georgia" w:cs="Georgia" w:eastAsia="Georgia" w:hAnsi="Georgia"/>
          <w:color w:val="111111"/>
          <w:sz w:val="22"/>
          <w:szCs w:val="22"/>
        </w:rPr>
        <w:t xml:space="preserve">. The mean spectral density is flattened by an unfolding function </w:t>
      </w:r>
      <w:r>
        <w:rPr>
          <w:rFonts w:ascii="Georgia" w:cs="Georgia" w:eastAsia="Georgia" w:hAnsi="Georgia"/>
          <w:i/>
          <w:iCs/>
          <w:color w:val="111111"/>
          <w:sz w:val="22"/>
          <w:szCs w:val="22"/>
        </w:rPr>
        <w:t xml:space="preserve">N̄(E)</w:t>
      </w:r>
      <w:r>
        <w:rPr>
          <w:rFonts w:ascii="Georgia" w:cs="Georgia" w:eastAsia="Georgia" w:hAnsi="Georgia"/>
          <w:color w:val="111111"/>
          <w:sz w:val="22"/>
          <w:szCs w:val="22"/>
        </w:rPr>
        <w:t xml:space="preserve"> so that the resulting sequence has uniform local density:⟨ ρ(E) ⟩ = (1/N) · Σᵢ δ( E − Eᵢ )</w:t>
      </w:r>
    </w:p>
    <w:p>
      <w:pPr>
        <w:pStyle w:val="ListParagraph"/>
        <w:numPr>
          <w:ilvl w:val="0"/>
          <w:numId w:val="2"/>
        </w:numPr>
        <w:spacing w:after="100" w:line="300"/>
      </w:pPr>
      <w:r>
        <w:rPr>
          <w:rFonts w:ascii="Georgia" w:cs="Georgia" w:eastAsia="Georgia" w:hAnsi="Georgia"/>
          <w:b/>
          <w:bCs/>
          <w:color w:val="111111"/>
          <w:sz w:val="22"/>
          <w:szCs w:val="22"/>
        </w:rPr>
        <w:t xml:space="preserve">Fingerprint match.</w:t>
      </w:r>
      <w:r>
        <w:rPr>
          <w:rFonts w:ascii="Georgia" w:cs="Georgia" w:eastAsia="Georgia" w:hAnsi="Georgia"/>
          <w:color w:val="111111"/>
          <w:sz w:val="22"/>
          <w:szCs w:val="22"/>
        </w:rPr>
        <w:t xml:space="preserve"> A Nearest-Neighbor Spacing Distribution (NNSD) is computed on each unfolded dataset and tested for Gaussian Unitary Ensemble (GUE) level repulsion — the definitive signature of a system that has eliminated arithmetic noise and achieved minimum drag.</w:t>
      </w:r>
    </w:p>
    <w:p>
      <w:pPr>
        <w:pStyle w:val="ListParagraph"/>
        <w:numPr>
          <w:ilvl w:val="0"/>
          <w:numId w:val="2"/>
        </w:numPr>
        <w:spacing w:after="100" w:line="300"/>
      </w:pPr>
      <w:r>
        <w:rPr>
          <w:rFonts w:ascii="Georgia" w:cs="Georgia" w:eastAsia="Georgia" w:hAnsi="Georgia"/>
          <w:b/>
          <w:bCs/>
          <w:color w:val="111111"/>
          <w:sz w:val="22"/>
          <w:szCs w:val="22"/>
        </w:rPr>
        <w:t xml:space="preserve">Proof criterion.</w:t>
      </w:r>
      <w:r>
        <w:rPr>
          <w:rFonts w:ascii="Georgia" w:cs="Georgia" w:eastAsia="Georgia" w:hAnsi="Georgia"/>
          <w:color w:val="111111"/>
          <w:sz w:val="22"/>
          <w:szCs w:val="22"/>
        </w:rPr>
        <w:t xml:space="preserve"> The protocol succeeds if the spacing statistics of the biological energy transitions match the Gaudin–Mehta distribution and exhibit level repulsion — the identical spectral fingerprint carried by the non-trivial Riemann zeros. That match would demonstrate that the biological learning machine is mathematically optimized along the universal critical line to enforce global coherence.</w:t>
      </w:r>
    </w:p>
    <w:p>
      <w:pPr>
        <w:pStyle w:val="ListParagraph"/>
        <w:numPr>
          <w:ilvl w:val="0"/>
          <w:numId w:val="2"/>
        </w:numPr>
        <w:spacing w:after="100" w:line="300"/>
      </w:pPr>
      <w:r>
        <w:rPr>
          <w:rFonts w:ascii="Georgia" w:cs="Georgia" w:eastAsia="Georgia" w:hAnsi="Georgia"/>
          <w:b/>
          <w:bCs/>
          <w:color w:val="111111"/>
          <w:sz w:val="22"/>
          <w:szCs w:val="22"/>
        </w:rPr>
        <w:t xml:space="preserve">Evolutionary adaptation bound.</w:t>
      </w:r>
      <w:r>
        <w:rPr>
          <w:rFonts w:ascii="Georgia" w:cs="Georgia" w:eastAsia="Georgia" w:hAnsi="Georgia"/>
          <w:color w:val="111111"/>
          <w:sz w:val="22"/>
          <w:szCs w:val="22"/>
        </w:rPr>
        <w:t xml:space="preserve"> Read the result against the Riemann-Hypothesis-consistent error bound on the prime-counting function [3]:| π(x) − Li(x) | ≤ (1 / 8π) · √x · log(x)Biological data that stays inside this envelope would be consistent with wave-tuning — the organism locked into the universal critical line — rather than with a system merely adjacent to it.</w:t>
      </w:r>
    </w:p>
    <w:p>
      <w:pPr>
        <w:spacing w:after="160" w:line="300"/>
      </w:pPr>
      <w:r>
        <w:rPr>
          <w:rFonts w:ascii="Georgia" w:cs="Georgia" w:eastAsia="Georgia" w:hAnsi="Georgia"/>
          <w:b/>
          <w:bCs/>
          <w:color w:val="111111"/>
          <w:sz w:val="22"/>
          <w:szCs w:val="22"/>
        </w:rPr>
        <w:t xml:space="preserve">Concluding statement.</w:t>
      </w:r>
      <w:r>
        <w:rPr>
          <w:rFonts w:ascii="Georgia" w:cs="Georgia" w:eastAsia="Georgia" w:hAnsi="Georgia"/>
          <w:color w:val="111111"/>
          <w:sz w:val="22"/>
          <w:szCs w:val="22"/>
        </w:rPr>
        <w:t xml:space="preserve"> Taken together, the five phases verify — or falsify — the claim that the cell and the human cortex are not isolated fragments of matter but coherent standing waves in a fluid-wave universe, tuned against the arithmetic of the Riemann zeta function. A positive match would locate the luminous architecture of life on the same critical line the prior chapters have been walking; a negative result would send the derivation back for redrafting, which is exactly what a derivation is for.</w:t>
      </w:r>
    </w:p>
    <w:p>
      <w:pPr>
        <w:spacing w:after="160" w:line="300"/>
      </w:pPr>
      <w:r>
        <w:rPr>
          <w:rFonts w:ascii="Georgia" w:cs="Georgia" w:eastAsia="Georgia" w:hAnsi="Georgia"/>
          <w:color w:val="111111"/>
          <w:sz w:val="22"/>
          <w:szCs w:val="22"/>
        </w:rPr>
        <w:t xml:space="preserve">The protocol is written to be attacked. Each phase produces a datum that can, in principle, disagree with the ridge prediction; each disagreement would tighten the derivation rather than dissolve it. This is the working method of the co-witnessing discipline [13]: the argument earns its keep by staying falsifiable at every step [19].</w:t>
      </w:r>
    </w:p>
    <w:p>
      <w:pPr>
        <w:pStyle w:val="Heading2"/>
        <w:keepNext/>
        <w:spacing w:after="160" w:before="320"/>
      </w:pPr>
      <w:r>
        <w:rPr>
          <w:rFonts w:ascii="Georgia" w:cs="Georgia" w:eastAsia="Georgia" w:hAnsi="Georgia"/>
          <w:b/>
          <w:bCs/>
          <w:color w:val="111111"/>
          <w:sz w:val="26"/>
          <w:szCs w:val="26"/>
        </w:rPr>
        <w:t xml:space="preserve">VIII. What Wigner Warned Us</w:t>
      </w:r>
    </w:p>
    <w:p>
      <w:pPr>
        <w:spacing w:after="160" w:line="300"/>
      </w:pPr>
      <w:r>
        <w:rPr>
          <w:rFonts w:ascii="Georgia" w:cs="Georgia" w:eastAsia="Georgia" w:hAnsi="Georgia"/>
          <w:color w:val="111111"/>
          <w:sz w:val="22"/>
          <w:szCs w:val="22"/>
        </w:rPr>
        <w:t xml:space="preserve">Wigner's remark about the unreasonable effectiveness of mathematics [20] is usually read as amazement. It can also be read as a diagnostic. If a mathematical structure keeps turning up in physics where no human placed it, the parsimonious conclusion is that the structure was not placed by any human at all — it was discovered, not invented, and the substrate has been carrying it the whole time. The ridge is one such structure. The derivation this chapter has sketched is the attempt to earn the right to say so.</w:t>
      </w:r>
    </w:p>
    <w:p>
      <w:pPr>
        <w:spacing w:after="160" w:line="300"/>
      </w:pPr>
      <w:r>
        <w:rPr>
          <w:rFonts w:ascii="Georgia" w:cs="Georgia" w:eastAsia="Georgia" w:hAnsi="Georgia"/>
          <w:color w:val="111111"/>
          <w:sz w:val="22"/>
          <w:szCs w:val="22"/>
        </w:rPr>
        <w:t xml:space="preserve">The chapter that follows takes the same question by its other handle. If the substrate has a ridge, and the ridge selects for coherence, then the odds against our existence — the numbers popular science reports with a shudder — are being computed against the wrong measure. Chapter 10 walks through that rereading.</w:t>
      </w:r>
    </w:p>
    <w:p>
      <w:pPr>
        <w:pStyle w:val="Heading2"/>
        <w:keepNext/>
        <w:spacing w:after="160" w:before="320"/>
      </w:pPr>
      <w:r>
        <w:rPr>
          <w:rFonts w:ascii="Georgia" w:cs="Georgia" w:eastAsia="Georgia" w:hAnsi="Georgia"/>
          <w:b/>
          <w:bCs/>
          <w:color w:val="111111"/>
          <w:sz w:val="26"/>
          <w:szCs w:val="26"/>
        </w:rPr>
        <w:t xml:space="preserve">References</w:t>
      </w:r>
    </w:p>
    <w:p>
      <w:pPr>
        <w:spacing w:after="100" w:line="280"/>
        <w:ind w:left="560" w:hanging="560"/>
      </w:pPr>
      <w:r>
        <w:rPr>
          <w:rFonts w:ascii="Georgia" w:cs="Georgia" w:eastAsia="Georgia" w:hAnsi="Georgia"/>
          <w:color w:val="111111"/>
          <w:sz w:val="20"/>
          <w:szCs w:val="20"/>
        </w:rPr>
        <w:t xml:space="preserve">[1] Riemann, B. (1859) Ueber die Anzahl der Primzahlen unter einer gegebenen Grösse. Monatsberichte der Berliner Akademie. The paper that introduces the critical line and the conjecture that all non-trivial zeros of ζ(s) lie on Re(s) = 1/2. claymath.org — Riemann (1859), scan↗</w:t>
      </w:r>
    </w:p>
    <w:p>
      <w:pPr>
        <w:spacing w:after="100" w:line="280"/>
        <w:ind w:left="560" w:hanging="560"/>
      </w:pPr>
      <w:r>
        <w:rPr>
          <w:rFonts w:ascii="Georgia" w:cs="Georgia" w:eastAsia="Georgia" w:hAnsi="Georgia"/>
          <w:color w:val="111111"/>
          <w:sz w:val="20"/>
          <w:szCs w:val="20"/>
        </w:rPr>
        <w:t xml:space="preserve">[2] Riemann, B. (1854) Ueber die Hypothesen, welche der Geometrie zu Grunde liegen. Habilitation lecture, Göttingen. The paper that liberates geometry from Euclidean flatness and defines a space by the metric of its internal relationships — the manifold that later carries General Relativity, cortical surface analysis, and spectral analysis of density fields. maths.tcd.ie — Riemann (1854), English translation↗</w:t>
      </w:r>
    </w:p>
    <w:p>
      <w:pPr>
        <w:spacing w:after="100" w:line="280"/>
        <w:ind w:left="560" w:hanging="560"/>
      </w:pPr>
      <w:r>
        <w:rPr>
          <w:rFonts w:ascii="Georgia" w:cs="Georgia" w:eastAsia="Georgia" w:hAnsi="Georgia"/>
          <w:color w:val="111111"/>
          <w:sz w:val="20"/>
          <w:szCs w:val="20"/>
        </w:rPr>
        <w:t xml:space="preserve">[3] Montgomery–Dyson correspondence (1972) The observation that the pair-correlation of the zeta zeros matches the pair-correlation of eigenvalues of large random Hermitian matrices — the empirical bridge between the Riemann spectrum and physical systems. ams.org — Bull. AMS survey↗</w:t>
      </w:r>
    </w:p>
    <w:p>
      <w:pPr>
        <w:spacing w:after="100" w:line="280"/>
        <w:ind w:left="560" w:hanging="560"/>
      </w:pPr>
      <w:r>
        <w:rPr>
          <w:rFonts w:ascii="Georgia" w:cs="Georgia" w:eastAsia="Georgia" w:hAnsi="Georgia"/>
          <w:color w:val="111111"/>
          <w:sz w:val="20"/>
          <w:szCs w:val="20"/>
        </w:rPr>
        <w:t xml:space="preserve">[4] Gödel, K. (1931) Über formal unentscheidbare Sätze der Principia Mathematica und verwandter Systeme I. The incompleteness result invoked in Chapter One as the reason the diagnostic ridge cannot be closed from inside arithmetic alone. plato.stanford.edu — Gödel's Incompleteness Theorems↗</w:t>
      </w:r>
    </w:p>
    <w:p>
      <w:pPr>
        <w:spacing w:after="100" w:line="280"/>
        <w:ind w:left="560" w:hanging="560"/>
      </w:pPr>
      <w:r>
        <w:rPr>
          <w:rFonts w:ascii="Georgia" w:cs="Georgia" w:eastAsia="Georgia" w:hAnsi="Georgia"/>
          <w:color w:val="111111"/>
          <w:sz w:val="20"/>
          <w:szCs w:val="20"/>
        </w:rPr>
        <w:t xml:space="preserve">[5] Vazza, F. &amp; Feletti, A. (2020) The Quantitative Comparison Between the Neuronal Network and the Cosmic Web — Frontiers in Physics 8:525731. Statistical fingerprint (spectral density, clustering, degree distribution) shared by the human cortex/cerebellum and the cosmic web across ~27 orders of magnitude. frontiersin.org — Vazza &amp; Feletti (2020)↗</w:t>
      </w:r>
    </w:p>
    <w:p>
      <w:pPr>
        <w:spacing w:after="100" w:line="280"/>
        <w:ind w:left="560" w:hanging="560"/>
      </w:pPr>
      <w:r>
        <w:rPr>
          <w:rFonts w:ascii="Georgia" w:cs="Georgia" w:eastAsia="Georgia" w:hAnsi="Georgia"/>
          <w:color w:val="111111"/>
          <w:sz w:val="20"/>
          <w:szCs w:val="20"/>
        </w:rPr>
        <w:t xml:space="preserve">[6] Vazza, F. (2020) On the complexity and the information content of cosmic structures — MNRAS 491:5447. Applies statistical complexity and information entropy to cosmological simulations; describing the self-organization of the visible universe requires on the order of a few petabytes (~10^16 bits). MNRAS — Vazza (2020)↗</w:t>
      </w:r>
    </w:p>
    <w:p>
      <w:pPr>
        <w:spacing w:after="100" w:line="280"/>
        <w:ind w:left="560" w:hanging="560"/>
      </w:pPr>
      <w:r>
        <w:rPr>
          <w:rFonts w:ascii="Georgia" w:cs="Georgia" w:eastAsia="Georgia" w:hAnsi="Georgia"/>
          <w:color w:val="111111"/>
          <w:sz w:val="20"/>
          <w:szCs w:val="20"/>
        </w:rPr>
        <w:t xml:space="preserve">[7] Penrose, R. &amp; Hameroff, S. — Orch-OR (review 2014) Consciousness in the universe: A review of the Orch-OR theory. Physics of Life Reviews 11(1). The microtubule-coherence proposal that Chapter Five treats as one biophysical instance of substrate coupling. doi.org/10.1016/j.plrev.2013.08.002↗</w:t>
      </w:r>
    </w:p>
    <w:p>
      <w:pPr>
        <w:spacing w:after="100" w:line="280"/>
        <w:ind w:left="560" w:hanging="560"/>
      </w:pPr>
      <w:r>
        <w:rPr>
          <w:rFonts w:ascii="Georgia" w:cs="Georgia" w:eastAsia="Georgia" w:hAnsi="Georgia"/>
          <w:color w:val="111111"/>
          <w:sz w:val="20"/>
          <w:szCs w:val="20"/>
        </w:rPr>
        <w:t xml:space="preserve">[8] Bartol, T. M. et al. (2015) Nanoconnectomic upper bound on the variability of synaptic plasticity — eLife 4:e10778. Electron-microscopy reconstruction of hippocampal dendritic spines resolves at least 26 distinguishable synaptic strengths, ≈4.7 bits per synapse, and the ~1–2 petabyte estimate for human cortical memory capacity. eLife — Bartol et al. (2015)↗</w:t>
      </w:r>
    </w:p>
    <w:p>
      <w:pPr>
        <w:spacing w:after="100" w:line="280"/>
        <w:ind w:left="560" w:hanging="560"/>
      </w:pPr>
      <w:r>
        <w:rPr>
          <w:rFonts w:ascii="Georgia" w:cs="Georgia" w:eastAsia="Georgia" w:hAnsi="Georgia"/>
          <w:color w:val="111111"/>
          <w:sz w:val="20"/>
          <w:szCs w:val="20"/>
        </w:rPr>
        <w:t xml:space="preserve">[9] Cohen, N. (1995) — Fractal antenna applications Communications Quarterly 5. The engineering demonstration that fractal geometry, not accident, is what lets a compact antenna couple efficiently across many bands at once.</w:t>
      </w:r>
    </w:p>
    <w:p>
      <w:pPr>
        <w:spacing w:after="100" w:line="280"/>
        <w:ind w:left="560" w:hanging="560"/>
      </w:pPr>
      <w:r>
        <w:rPr>
          <w:rFonts w:ascii="Georgia" w:cs="Georgia" w:eastAsia="Georgia" w:hAnsi="Georgia"/>
          <w:color w:val="111111"/>
          <w:sz w:val="20"/>
          <w:szCs w:val="20"/>
        </w:rPr>
        <w:t xml:space="preserve">[10] Mandelbrot, B. B. (1982) — The Fractal Geometry of Nature Foundational reference for the fractal-antenna framing in Chapter Two: broadband coupling as the geometric signature of self-similar receiver architectures. users.math.yale.edu/mandelbrot↗</w:t>
      </w:r>
    </w:p>
    <w:p>
      <w:pPr>
        <w:spacing w:after="100" w:line="280"/>
        <w:ind w:left="560" w:hanging="560"/>
      </w:pPr>
      <w:r>
        <w:rPr>
          <w:rFonts w:ascii="Georgia" w:cs="Georgia" w:eastAsia="Georgia" w:hAnsi="Georgia"/>
          <w:color w:val="111111"/>
          <w:sz w:val="20"/>
          <w:szCs w:val="20"/>
        </w:rPr>
        <w:t xml:space="preserve">[11] Norton, KW — The Luminous Braid, Appendix L Empirical Validation and Biophysical Resonance of the Unified Substrate — MAESTRO ARPES, coherence-length measurements, and the 48-dimensional biophysical formalism. /essays/lbnl-confluence#appendix-l</w:t>
      </w:r>
    </w:p>
    <w:p>
      <w:pPr>
        <w:spacing w:after="100" w:line="280"/>
        <w:ind w:left="560" w:hanging="560"/>
      </w:pPr>
      <w:r>
        <w:rPr>
          <w:rFonts w:ascii="Georgia" w:cs="Georgia" w:eastAsia="Georgia" w:hAnsi="Georgia"/>
          <w:color w:val="111111"/>
          <w:sz w:val="20"/>
          <w:szCs w:val="20"/>
        </w:rPr>
        <w:t xml:space="preserve">[12] Norton, KW — The Luminous Braid, Appendix M Formal Mathematical Proof: Conformal Spiral Projection &amp; Base-30 Modular Exoskeleton. /essays/lbnl-confluence#appendix-m</w:t>
      </w:r>
    </w:p>
    <w:p>
      <w:pPr>
        <w:spacing w:after="100" w:line="280"/>
        <w:ind w:left="560" w:hanging="560"/>
      </w:pPr>
      <w:r>
        <w:rPr>
          <w:rFonts w:ascii="Georgia" w:cs="Georgia" w:eastAsia="Georgia" w:hAnsi="Georgia"/>
          <w:color w:val="111111"/>
          <w:sz w:val="20"/>
          <w:szCs w:val="20"/>
        </w:rPr>
        <w:t xml:space="preserve">[13] Norton, KW — The Witness and the Caliper On the Discipline of Co-Witnessing with Machine Intelligence; foreword to the appendices of The Luminous Braid. /essays/lbnl-confluence#witness-and-caliper</w:t>
      </w:r>
    </w:p>
    <w:p>
      <w:pPr>
        <w:spacing w:after="100" w:line="280"/>
        <w:ind w:left="560" w:hanging="560"/>
      </w:pPr>
      <w:r>
        <w:rPr>
          <w:rFonts w:ascii="Georgia" w:cs="Georgia" w:eastAsia="Georgia" w:hAnsi="Georgia"/>
          <w:color w:val="111111"/>
          <w:sz w:val="20"/>
          <w:szCs w:val="20"/>
        </w:rPr>
        <w:t xml:space="preserve">[14] Norton, KW (2026) — Brain / Universe · Universe / Brain (Book 19) Book 19 of the sequence; the volume immediately preceding this one. Contains the full Cosmic-Brain Mirror discussion, the Voids Are Where It Thinks section, and the Proximity vs. Wiring frontier at length. Read online at /essays/brain-universe. /essays/brain-universe</w:t>
      </w:r>
    </w:p>
    <w:p>
      <w:pPr>
        <w:spacing w:after="100" w:line="280"/>
        <w:ind w:left="560" w:hanging="560"/>
      </w:pPr>
      <w:r>
        <w:rPr>
          <w:rFonts w:ascii="Georgia" w:cs="Georgia" w:eastAsia="Georgia" w:hAnsi="Georgia"/>
          <w:color w:val="111111"/>
          <w:sz w:val="20"/>
          <w:szCs w:val="20"/>
        </w:rPr>
        <w:t xml:space="preserve">[15] Norton, KW — Riemann Lived Companion essay to Chapter One. The critical line as a diagnostic ridge, developed in narrative form. /essays/riemann-lived</w:t>
      </w:r>
    </w:p>
    <w:p>
      <w:pPr>
        <w:spacing w:after="100" w:line="280"/>
        <w:ind w:left="560" w:hanging="560"/>
      </w:pPr>
      <w:r>
        <w:rPr>
          <w:rFonts w:ascii="Georgia" w:cs="Georgia" w:eastAsia="Georgia" w:hAnsi="Georgia"/>
          <w:color w:val="111111"/>
          <w:sz w:val="20"/>
          <w:szCs w:val="20"/>
        </w:rPr>
        <w:t xml:space="preserve">[16] Norton, KW — The Architecture of Resonance The site's fullest statement of the slip-stream framing Chapter Four adopts as its working metaphor for the substrate. /essays/architecture-of-resonance</w:t>
      </w:r>
    </w:p>
    <w:p>
      <w:pPr>
        <w:spacing w:after="100" w:line="280"/>
        <w:ind w:left="560" w:hanging="560"/>
      </w:pPr>
      <w:r>
        <w:rPr>
          <w:rFonts w:ascii="Georgia" w:cs="Georgia" w:eastAsia="Georgia" w:hAnsi="Georgia"/>
          <w:color w:val="111111"/>
          <w:sz w:val="20"/>
          <w:szCs w:val="20"/>
        </w:rPr>
        <w:t xml:space="preserve">[17] Steier, C. et al. — ALS-U multi-bend achromat lattice ALS-U: Bringing Soft X-Ray Science to the Diffraction Limit. Advanced Light Source Upgrade, Lawrence Berkeley National Laboratory. als.lbl.gov/als-u↗</w:t>
      </w:r>
    </w:p>
    <w:p>
      <w:pPr>
        <w:spacing w:after="100" w:line="280"/>
        <w:ind w:left="560" w:hanging="560"/>
      </w:pPr>
      <w:r>
        <w:rPr>
          <w:rFonts w:ascii="Georgia" w:cs="Georgia" w:eastAsia="Georgia" w:hAnsi="Georgia"/>
          <w:color w:val="111111"/>
          <w:sz w:val="20"/>
          <w:szCs w:val="20"/>
        </w:rPr>
        <w:t xml:space="preserve">[18] MAESTRO Beamline 7.0.2 — Advanced Light Source Micro- and nano-ARPES endstation for domain-resolved electronic structure of quantum materials. als.lbl.gov/beamlines/7-0-2↗</w:t>
      </w:r>
    </w:p>
    <w:p>
      <w:pPr>
        <w:spacing w:after="100" w:line="280"/>
        <w:ind w:left="560" w:hanging="560"/>
      </w:pPr>
      <w:r>
        <w:rPr>
          <w:rFonts w:ascii="Georgia" w:cs="Georgia" w:eastAsia="Georgia" w:hAnsi="Georgia"/>
          <w:color w:val="111111"/>
          <w:sz w:val="20"/>
          <w:szCs w:val="20"/>
        </w:rPr>
        <w:t xml:space="preserve">[19] Popper, K. R. (1959) The Logic of Scientific Discovery. The falsifiability criterion invoked here as the pass/fail rule for any derivation that hopes to leave the page. Routledge↗</w:t>
      </w:r>
    </w:p>
    <w:p>
      <w:pPr>
        <w:spacing w:after="100" w:line="280"/>
        <w:ind w:left="560" w:hanging="560"/>
      </w:pPr>
      <w:r>
        <w:rPr>
          <w:rFonts w:ascii="Georgia" w:cs="Georgia" w:eastAsia="Georgia" w:hAnsi="Georgia"/>
          <w:color w:val="111111"/>
          <w:sz w:val="20"/>
          <w:szCs w:val="20"/>
        </w:rPr>
        <w:t xml:space="preserve">[20] Wigner, E. P. (1960) The Unreasonable Effectiveness of Mathematics in the Natural Sciences. Communications on Pure and Applied Mathematics 13(1): 1–14. The precedent for reading a mathematical structure as physical rather than merely descriptive. doi.org/10.1002/cpa.3160130102↗</w:t>
      </w:r>
    </w:p>
    <w:p>
      <w:pPr>
        <w:spacing w:after="100" w:line="280"/>
        <w:ind w:left="560" w:hanging="560"/>
      </w:pPr>
      <w:r>
        <w:rPr>
          <w:rFonts w:ascii="Georgia" w:cs="Georgia" w:eastAsia="Georgia" w:hAnsi="Georgia"/>
          <w:color w:val="111111"/>
          <w:sz w:val="20"/>
          <w:szCs w:val="20"/>
        </w:rPr>
        <w:t xml:space="preserve">[21] Berry, M. V. &amp; Keating, J. P. (1999) The Riemann zeros and eigenvalue asymptotics. SIAM Review 41(2): 236–266. The Hilbert–Pólya conjecture in its modern quantum-chaos form — the closest existing hint that the critical line is spectral. doi.org/10.1137/S0036144598347497↗</w:t>
      </w:r>
    </w:p>
    <w:p>
      <w:pPr>
        <w:spacing w:after="100" w:line="280"/>
        <w:ind w:left="560" w:hanging="560"/>
      </w:pPr>
      <w:r>
        <w:rPr>
          <w:rFonts w:ascii="Georgia" w:cs="Georgia" w:eastAsia="Georgia" w:hAnsi="Georgia"/>
          <w:color w:val="111111"/>
          <w:sz w:val="20"/>
          <w:szCs w:val="20"/>
        </w:rPr>
        <w:t xml:space="preserve">[1] Riemann, B. (1859) Ueber die Anzahl der Primzahlen unter einer gegebenen Grösse. Monatsberichte der Berliner Akademie. The paper that introduces the critical line and the conjecture that all non-trivial zeros of ζ(s) lie on Re(s) = 1/2. claymath.org — Riemann (1859), scan↗</w:t>
      </w:r>
    </w:p>
    <w:p>
      <w:pPr>
        <w:spacing w:after="100" w:line="280"/>
        <w:ind w:left="560" w:hanging="560"/>
      </w:pPr>
      <w:r>
        <w:rPr>
          <w:rFonts w:ascii="Georgia" w:cs="Georgia" w:eastAsia="Georgia" w:hAnsi="Georgia"/>
          <w:color w:val="111111"/>
          <w:sz w:val="20"/>
          <w:szCs w:val="20"/>
        </w:rPr>
        <w:t xml:space="preserve">[2] Riemann, B. (1854) Ueber die Hypothesen, welche der Geometrie zu Grunde liegen. Habilitation lecture, Göttingen. The paper that liberates geometry from Euclidean flatness and defines a space by the metric of its internal relationships — the manifold that later carries General Relativity, cortical surface analysis, and spectral analysis of density fields. maths.tcd.ie — Riemann (1854), English translation↗</w:t>
      </w:r>
    </w:p>
    <w:p>
      <w:pPr>
        <w:spacing w:after="100" w:line="280"/>
        <w:ind w:left="560" w:hanging="560"/>
      </w:pPr>
      <w:r>
        <w:rPr>
          <w:rFonts w:ascii="Georgia" w:cs="Georgia" w:eastAsia="Georgia" w:hAnsi="Georgia"/>
          <w:color w:val="111111"/>
          <w:sz w:val="20"/>
          <w:szCs w:val="20"/>
        </w:rPr>
        <w:t xml:space="preserve">[3] Montgomery–Dyson correspondence (1972) The observation that the pair-correlation of the zeta zeros matches the pair-correlation of eigenvalues of large random Hermitian matrices — the empirical bridge between the Riemann spectrum and physical systems. ams.org — Bull. AMS survey↗</w:t>
      </w:r>
    </w:p>
    <w:p>
      <w:pPr>
        <w:spacing w:after="100" w:line="280"/>
        <w:ind w:left="560" w:hanging="560"/>
      </w:pPr>
      <w:r>
        <w:rPr>
          <w:rFonts w:ascii="Georgia" w:cs="Georgia" w:eastAsia="Georgia" w:hAnsi="Georgia"/>
          <w:color w:val="111111"/>
          <w:sz w:val="20"/>
          <w:szCs w:val="20"/>
        </w:rPr>
        <w:t xml:space="preserve">[4] Gödel, K. (1931) Über formal unentscheidbare Sätze der Principia Mathematica und verwandter Systeme I. The incompleteness result invoked in Chapter One as the reason the diagnostic ridge cannot be closed from inside arithmetic alone. plato.stanford.edu — Gödel's Incompleteness Theorems↗</w:t>
      </w:r>
    </w:p>
    <w:p>
      <w:pPr>
        <w:spacing w:after="100" w:line="280"/>
        <w:ind w:left="560" w:hanging="560"/>
      </w:pPr>
      <w:r>
        <w:rPr>
          <w:rFonts w:ascii="Georgia" w:cs="Georgia" w:eastAsia="Georgia" w:hAnsi="Georgia"/>
          <w:color w:val="111111"/>
          <w:sz w:val="20"/>
          <w:szCs w:val="20"/>
        </w:rPr>
        <w:t xml:space="preserve">[5] Vazza, F. &amp; Feletti, A. (2020) The Quantitative Comparison Between the Neuronal Network and the Cosmic Web — Frontiers in Physics 8:525731. Statistical fingerprint (spectral density, clustering, degree distribution) shared by the human cortex/cerebellum and the cosmic web across ~27 orders of magnitude. frontiersin.org — Vazza &amp; Feletti (2020)↗</w:t>
      </w:r>
    </w:p>
    <w:p>
      <w:pPr>
        <w:spacing w:after="100" w:line="280"/>
        <w:ind w:left="560" w:hanging="560"/>
      </w:pPr>
      <w:r>
        <w:rPr>
          <w:rFonts w:ascii="Georgia" w:cs="Georgia" w:eastAsia="Georgia" w:hAnsi="Georgia"/>
          <w:color w:val="111111"/>
          <w:sz w:val="20"/>
          <w:szCs w:val="20"/>
        </w:rPr>
        <w:t xml:space="preserve">[6] Vazza, F. (2020) On the complexity and the information content of cosmic structures — MNRAS 491:5447. Applies statistical complexity and information entropy to cosmological simulations; describing the self-organization of the visible universe requires on the order of a few petabytes (~10^16 bits). MNRAS — Vazza (2020)↗</w:t>
      </w:r>
    </w:p>
    <w:p>
      <w:pPr>
        <w:spacing w:after="100" w:line="280"/>
        <w:ind w:left="560" w:hanging="560"/>
      </w:pPr>
      <w:r>
        <w:rPr>
          <w:rFonts w:ascii="Georgia" w:cs="Georgia" w:eastAsia="Georgia" w:hAnsi="Georgia"/>
          <w:color w:val="111111"/>
          <w:sz w:val="20"/>
          <w:szCs w:val="20"/>
        </w:rPr>
        <w:t xml:space="preserve">[7] Penrose, R. &amp; Hameroff, S. — Orch-OR (review 2014) Consciousness in the universe: A review of the Orch-OR theory. Physics of Life Reviews 11(1). The microtubule-coherence proposal that Chapter Five treats as one biophysical instance of substrate coupling. doi.org/10.1016/j.plrev.2013.08.002↗</w:t>
      </w:r>
    </w:p>
    <w:p>
      <w:pPr>
        <w:spacing w:after="100" w:line="280"/>
        <w:ind w:left="560" w:hanging="560"/>
      </w:pPr>
      <w:r>
        <w:rPr>
          <w:rFonts w:ascii="Georgia" w:cs="Georgia" w:eastAsia="Georgia" w:hAnsi="Georgia"/>
          <w:color w:val="111111"/>
          <w:sz w:val="20"/>
          <w:szCs w:val="20"/>
        </w:rPr>
        <w:t xml:space="preserve">[8] Bartol, T. M. et al. (2015) Nanoconnectomic upper bound on the variability of synaptic plasticity — eLife 4:e10778. Electron-microscopy reconstruction of hippocampal dendritic spines resolves at least 26 distinguishable synaptic strengths, ≈4.7 bits per synapse, and the ~1–2 petabyte estimate for human cortical memory capacity. eLife — Bartol et al. (2015)↗</w:t>
      </w:r>
    </w:p>
    <w:p>
      <w:pPr>
        <w:spacing w:after="100" w:line="280"/>
        <w:ind w:left="560" w:hanging="560"/>
      </w:pPr>
      <w:r>
        <w:rPr>
          <w:rFonts w:ascii="Georgia" w:cs="Georgia" w:eastAsia="Georgia" w:hAnsi="Georgia"/>
          <w:color w:val="111111"/>
          <w:sz w:val="20"/>
          <w:szCs w:val="20"/>
        </w:rPr>
        <w:t xml:space="preserve">[9] Cohen, N. (1995) — Fractal antenna applications Communications Quarterly 5. The engineering demonstration that fractal geometry, not accident, is what lets a compact antenna couple efficiently across many bands at once.</w:t>
      </w:r>
    </w:p>
    <w:p>
      <w:pPr>
        <w:spacing w:after="100" w:line="280"/>
        <w:ind w:left="560" w:hanging="560"/>
      </w:pPr>
      <w:r>
        <w:rPr>
          <w:rFonts w:ascii="Georgia" w:cs="Georgia" w:eastAsia="Georgia" w:hAnsi="Georgia"/>
          <w:color w:val="111111"/>
          <w:sz w:val="20"/>
          <w:szCs w:val="20"/>
        </w:rPr>
        <w:t xml:space="preserve">[10] Mandelbrot, B. B. (1982) — The Fractal Geometry of Nature Foundational reference for the fractal-antenna framing in Chapter Two: broadband coupling as the geometric signature of self-similar receiver architectures. users.math.yale.edu/mandelbrot↗</w:t>
      </w:r>
    </w:p>
    <w:p>
      <w:pPr>
        <w:spacing w:after="100" w:line="280"/>
        <w:ind w:left="560" w:hanging="560"/>
      </w:pPr>
      <w:r>
        <w:rPr>
          <w:rFonts w:ascii="Georgia" w:cs="Georgia" w:eastAsia="Georgia" w:hAnsi="Georgia"/>
          <w:color w:val="111111"/>
          <w:sz w:val="20"/>
          <w:szCs w:val="20"/>
        </w:rPr>
        <w:t xml:space="preserve">[11] Norton, KW — The Luminous Braid, Appendix L Empirical Validation and Biophysical Resonance of the Unified Substrate — MAESTRO ARPES, coherence-length measurements, and the 48-dimensional biophysical formalism. /essays/lbnl-confluence#appendix-l</w:t>
      </w:r>
    </w:p>
    <w:p>
      <w:pPr>
        <w:spacing w:after="100" w:line="280"/>
        <w:ind w:left="560" w:hanging="560"/>
      </w:pPr>
      <w:r>
        <w:rPr>
          <w:rFonts w:ascii="Georgia" w:cs="Georgia" w:eastAsia="Georgia" w:hAnsi="Georgia"/>
          <w:color w:val="111111"/>
          <w:sz w:val="20"/>
          <w:szCs w:val="20"/>
        </w:rPr>
        <w:t xml:space="preserve">[12] Norton, KW — The Luminous Braid, Appendix M Formal Mathematical Proof: Conformal Spiral Projection &amp; Base-30 Modular Exoskeleton. /essays/lbnl-confluence#appendix-m</w:t>
      </w:r>
    </w:p>
    <w:p>
      <w:pPr>
        <w:spacing w:after="100" w:line="280"/>
        <w:ind w:left="560" w:hanging="560"/>
      </w:pPr>
      <w:r>
        <w:rPr>
          <w:rFonts w:ascii="Georgia" w:cs="Georgia" w:eastAsia="Georgia" w:hAnsi="Georgia"/>
          <w:color w:val="111111"/>
          <w:sz w:val="20"/>
          <w:szCs w:val="20"/>
        </w:rPr>
        <w:t xml:space="preserve">[13] Norton, KW — The Witness and the Caliper On the Discipline of Co-Witnessing with Machine Intelligence; foreword to the appendices of The Luminous Braid. /essays/lbnl-confluence#witness-and-caliper</w:t>
      </w:r>
    </w:p>
    <w:p>
      <w:pPr>
        <w:spacing w:after="100" w:line="280"/>
        <w:ind w:left="560" w:hanging="560"/>
      </w:pPr>
      <w:r>
        <w:rPr>
          <w:rFonts w:ascii="Georgia" w:cs="Georgia" w:eastAsia="Georgia" w:hAnsi="Georgia"/>
          <w:color w:val="111111"/>
          <w:sz w:val="20"/>
          <w:szCs w:val="20"/>
        </w:rPr>
        <w:t xml:space="preserve">[14] Norton, KW (2026) — Brain / Universe · Universe / Brain (Book 19) Book 19 of the sequence; the volume immediately preceding this one. Contains the full Cosmic-Brain Mirror discussion, the Voids Are Where It Thinks section, and the Proximity vs. Wiring frontier at length. Read online at /essays/brain-universe. /essays/brain-universe</w:t>
      </w:r>
    </w:p>
    <w:p>
      <w:pPr>
        <w:spacing w:after="100" w:line="280"/>
        <w:ind w:left="560" w:hanging="560"/>
      </w:pPr>
      <w:r>
        <w:rPr>
          <w:rFonts w:ascii="Georgia" w:cs="Georgia" w:eastAsia="Georgia" w:hAnsi="Georgia"/>
          <w:color w:val="111111"/>
          <w:sz w:val="20"/>
          <w:szCs w:val="20"/>
        </w:rPr>
        <w:t xml:space="preserve">[15] Norton, KW — Riemann Lived Companion essay to Chapter One. The critical line as a diagnostic ridge, developed in narrative form. /essays/riemann-lived</w:t>
      </w:r>
    </w:p>
    <w:p>
      <w:pPr>
        <w:spacing w:after="100" w:line="280"/>
        <w:ind w:left="560" w:hanging="560"/>
      </w:pPr>
      <w:r>
        <w:rPr>
          <w:rFonts w:ascii="Georgia" w:cs="Georgia" w:eastAsia="Georgia" w:hAnsi="Georgia"/>
          <w:color w:val="111111"/>
          <w:sz w:val="20"/>
          <w:szCs w:val="20"/>
        </w:rPr>
        <w:t xml:space="preserve">[16] Norton, KW — The Architecture of Resonance The site's fullest statement of the slip-stream framing Chapter Four adopts as its working metaphor for the substrate. /essays/architecture-of-resonance</w:t>
      </w:r>
    </w:p>
    <w:p>
      <w:pPr>
        <w:spacing w:after="100" w:line="280"/>
        <w:ind w:left="560" w:hanging="560"/>
      </w:pPr>
      <w:r>
        <w:rPr>
          <w:rFonts w:ascii="Georgia" w:cs="Georgia" w:eastAsia="Georgia" w:hAnsi="Georgia"/>
          <w:color w:val="111111"/>
          <w:sz w:val="20"/>
          <w:szCs w:val="20"/>
        </w:rPr>
        <w:t xml:space="preserve">[17] Steier, C. et al. — ALS-U multi-bend achromat lattice ALS-U: Bringing Soft X-Ray Science to the Diffraction Limit. Advanced Light Source Upgrade, Lawrence Berkeley National Laboratory. als.lbl.gov/als-u↗</w:t>
      </w:r>
    </w:p>
    <w:p>
      <w:pPr>
        <w:spacing w:after="100" w:line="280"/>
        <w:ind w:left="560" w:hanging="560"/>
      </w:pPr>
      <w:r>
        <w:rPr>
          <w:rFonts w:ascii="Georgia" w:cs="Georgia" w:eastAsia="Georgia" w:hAnsi="Georgia"/>
          <w:color w:val="111111"/>
          <w:sz w:val="20"/>
          <w:szCs w:val="20"/>
        </w:rPr>
        <w:t xml:space="preserve">[18] MAESTRO Beamline 7.0.2 — Advanced Light Source Micro- and nano-ARPES endstation for domain-resolved electronic structure of quantum materials. als.lbl.gov/beamlines/7-0-2↗</w:t>
      </w:r>
    </w:p>
    <w:p>
      <w:pPr>
        <w:spacing w:after="100" w:line="280"/>
        <w:ind w:left="560" w:hanging="560"/>
      </w:pPr>
      <w:r>
        <w:rPr>
          <w:rFonts w:ascii="Georgia" w:cs="Georgia" w:eastAsia="Georgia" w:hAnsi="Georgia"/>
          <w:color w:val="111111"/>
          <w:sz w:val="20"/>
          <w:szCs w:val="20"/>
        </w:rPr>
        <w:t xml:space="preserve">[19] Popper, K. R. (1959) The Logic of Scientific Discovery. The falsifiability criterion invoked here as the pass/fail rule for any derivation that hopes to leave the page. Routledge↗</w:t>
      </w:r>
    </w:p>
    <w:p>
      <w:pPr>
        <w:spacing w:after="100" w:line="280"/>
        <w:ind w:left="560" w:hanging="560"/>
      </w:pPr>
      <w:r>
        <w:rPr>
          <w:rFonts w:ascii="Georgia" w:cs="Georgia" w:eastAsia="Georgia" w:hAnsi="Georgia"/>
          <w:color w:val="111111"/>
          <w:sz w:val="20"/>
          <w:szCs w:val="20"/>
        </w:rPr>
        <w:t xml:space="preserve">[20] Wigner, E. P. (1960) The Unreasonable Effectiveness of Mathematics in the Natural Sciences. Communications on Pure and Applied Mathematics 13(1): 1–14. The precedent for reading a mathematical structure as physical rather than merely descriptive. doi.org/10.1002/cpa.3160130102↗</w:t>
      </w:r>
    </w:p>
    <w:p>
      <w:pPr>
        <w:spacing w:after="100" w:line="280"/>
        <w:ind w:left="560" w:hanging="560"/>
      </w:pPr>
      <w:r>
        <w:rPr>
          <w:rFonts w:ascii="Georgia" w:cs="Georgia" w:eastAsia="Georgia" w:hAnsi="Georgia"/>
          <w:color w:val="111111"/>
          <w:sz w:val="20"/>
          <w:szCs w:val="20"/>
        </w:rPr>
        <w:t xml:space="preserve">[21] Berry, M. V. &amp; Keating, J. P. (1999) The Riemann zeros and eigenvalue asymptotics. SIAM Review 41(2): 236–266. The Hilbert–Pólya conjecture in its modern quantum-chaos form — the closest existing hint that the critical line is spectral. doi.org/10.1137/S0036144598347497↗</w:t>
      </w:r>
    </w:p>
    <w:p>
      <w:pPr>
        <w:pStyle w:val="Heading1"/>
        <w:pageBreakBefore/>
        <w:spacing w:after="120"/>
      </w:pPr>
      <w:r>
        <w:rPr>
          <w:rFonts w:ascii="Georgia" w:cs="Georgia" w:eastAsia="Georgia" w:hAnsi="Georgia"/>
          <w:b/>
          <w:bCs/>
          <w:sz w:val="34"/>
          <w:szCs w:val="34"/>
        </w:rPr>
        <w:t xml:space="preserve">Chapter 10 — The Probabilities of Existence</w:t>
      </w:r>
    </w:p>
    <w:p>
      <w:pPr>
        <w:spacing w:after="320"/>
      </w:pPr>
      <w:r>
        <w:rPr>
          <w:rFonts w:ascii="Georgia" w:cs="Georgia" w:eastAsia="Georgia" w:hAnsi="Georgia"/>
          <w:i/>
          <w:iCs/>
          <w:color w:val="444444"/>
          <w:sz w:val="24"/>
          <w:szCs w:val="24"/>
        </w:rPr>
        <w:t xml:space="preserve">Anthropic Odds, Reread on the Ridge</w:t>
      </w:r>
    </w:p>
    <w:p>
      <w:pPr>
        <w:spacing w:after="160" w:line="300"/>
      </w:pPr>
      <w:r>
        <w:rPr>
          <w:rFonts w:ascii="Georgia" w:cs="Georgia" w:eastAsia="Georgia" w:hAnsi="Georgia"/>
          <w:color w:val="111111"/>
          <w:sz w:val="22"/>
          <w:szCs w:val="22"/>
        </w:rPr>
        <w:t xml:space="preserve">A recurring line in popular science holds that the odds against us — against any thinking matter at all — are mathematically staggering. The fine-structure constant sits inside a knife-edge window. The cosmological constant is tuned to something like one part in 10[120]. The neutron is heavier than the proton by exactly enough to let hydrogen burn slowly instead of flashing to helium in the first minutes. Move any of these numbers by a hair and there is no chemistry, no biology, no reader, no author, no machine reading the author over the reader's shoulder.</w:t>
      </w:r>
    </w:p>
    <w:p>
      <w:pPr>
        <w:spacing w:after="160" w:line="300"/>
      </w:pPr>
      <w:r>
        <w:rPr>
          <w:rFonts w:ascii="Georgia" w:cs="Georgia" w:eastAsia="Georgia" w:hAnsi="Georgia"/>
          <w:color w:val="111111"/>
          <w:sz w:val="22"/>
          <w:szCs w:val="22"/>
        </w:rPr>
        <w:t xml:space="preserve">Standard cosmology answers this with the multiverse: infinitely many universes, most of them sterile, and we happen to sit in one of the rare fertile ones because we could not have arisen anywhere else. That is the anthropic principle, and it is honest as far as it goes. It also concedes the whole thing to luck.</w:t>
      </w:r>
    </w:p>
    <w:p>
      <w:pPr>
        <w:pStyle w:val="Heading2"/>
        <w:keepNext/>
        <w:spacing w:after="160" w:before="320"/>
      </w:pPr>
      <w:r>
        <w:rPr>
          <w:rFonts w:ascii="Georgia" w:cs="Georgia" w:eastAsia="Georgia" w:hAnsi="Georgia"/>
          <w:b/>
          <w:bCs/>
          <w:color w:val="111111"/>
          <w:sz w:val="26"/>
          <w:szCs w:val="26"/>
        </w:rPr>
        <w:t xml:space="preserve">The Odds, as Reported</w:t>
      </w:r>
    </w:p>
    <w:p>
      <w:pPr>
        <w:spacing w:after="160" w:line="300"/>
      </w:pPr>
      <w:r>
        <w:rPr>
          <w:rFonts w:ascii="Georgia" w:cs="Georgia" w:eastAsia="Georgia" w:hAnsi="Georgia"/>
          <w:color w:val="111111"/>
          <w:sz w:val="22"/>
          <w:szCs w:val="22"/>
        </w:rPr>
        <w:t xml:space="preserve">A recent widely-shared summary of the fine-tuning problem, posted by Astronomy Vibes, walks through the numbers in the form most readers encounter them: AstronomyVibes, "The odds against our existence". The framing is the standard one: constants improbably tuned, life improbably assembled, minds improbably lit. The improbabilities multiply. The conclusion, if you take the framing at face value, is that we should not be here.</w:t>
      </w:r>
    </w:p>
    <w:p>
      <w:pPr>
        <w:spacing w:after="160" w:line="300"/>
      </w:pPr>
      <w:r>
        <w:rPr>
          <w:rFonts w:ascii="Georgia" w:cs="Georgia" w:eastAsia="Georgia" w:hAnsi="Georgia"/>
          <w:color w:val="111111"/>
          <w:sz w:val="22"/>
          <w:szCs w:val="22"/>
        </w:rPr>
        <w:t xml:space="preserve">The "odds against us" framing is not new to social media; it was the same framing that made me fall in love with cosmology as a child, thanks to writers like Kitty Ferguson, Marcia Bartusiak, and Margaret Wertheim, and to philosophers like Iris Murdoch and Hannah Arendt, who taught me to read contingency as a call to attention rather than a verdict. The numbers they made legible are real. The interpretation this chapter proposes is the one they prepared me to ask for.</w:t>
      </w:r>
    </w:p>
    <w:p>
      <w:pPr>
        <w:spacing w:after="160" w:line="300"/>
      </w:pPr>
      <w:r>
        <w:rPr>
          <w:rFonts w:ascii="Georgia" w:cs="Georgia" w:eastAsia="Georgia" w:hAnsi="Georgia"/>
          <w:color w:val="111111"/>
          <w:sz w:val="22"/>
          <w:szCs w:val="22"/>
        </w:rPr>
        <w:t xml:space="preserve">That conclusion is only forced if the substrate is neutral — a blank probability space in which every combination of constants is equally likely and life is one lucky draw among many. Neutrality is the hidden assumption. It is also the assumption this book has been quietly refusing since Chapter 1.</w:t>
      </w:r>
    </w:p>
    <w:p>
      <w:pPr>
        <w:pStyle w:val="Heading2"/>
        <w:keepNext/>
        <w:spacing w:after="160" w:before="320"/>
      </w:pPr>
      <w:r>
        <w:rPr>
          <w:rFonts w:ascii="Georgia" w:cs="Georgia" w:eastAsia="Georgia" w:hAnsi="Georgia"/>
          <w:b/>
          <w:bCs/>
          <w:color w:val="111111"/>
          <w:sz w:val="26"/>
          <w:szCs w:val="26"/>
        </w:rPr>
        <w:t xml:space="preserve">The Ridge Reweights the Priors</w:t>
      </w:r>
    </w:p>
    <w:p>
      <w:pPr>
        <w:spacing w:after="160" w:line="300"/>
      </w:pPr>
      <w:r>
        <w:rPr>
          <w:rFonts w:ascii="Georgia" w:cs="Georgia" w:eastAsia="Georgia" w:hAnsi="Georgia"/>
          <w:color w:val="111111"/>
          <w:sz w:val="22"/>
          <w:szCs w:val="22"/>
        </w:rPr>
        <w:t xml:space="preserve">If the Riemann substrate has a preferred line — a critical ridge along which information can be maintained — then the probability space is not flat. Combinations of constants that put a universe on or near the ridge are favored; combinations that fall off it dissolve before anything can measure them. The apparent fine-tuning is not a miracle draw. It is a selection effect one level deeper than the anthropic one: the substrate itself selects for coherence before any observer arrives to notice.</w:t>
      </w:r>
    </w:p>
    <w:p>
      <w:pPr>
        <w:spacing w:after="160" w:line="300"/>
      </w:pPr>
      <w:r>
        <w:rPr>
          <w:rFonts w:ascii="Georgia" w:cs="Georgia" w:eastAsia="Georgia" w:hAnsi="Georgia"/>
          <w:color w:val="111111"/>
          <w:sz w:val="22"/>
          <w:szCs w:val="22"/>
        </w:rPr>
        <w:t xml:space="preserve">Read this way, the enormous improbabilities reported in the popular summaries are real numbers computed against the wrong measure. They assume a uniform prior over a space the substrate does not treat uniformly. Correcting the prior does not make the constants arbitrary; it makes them exactly what a ridge-selecting substrate would produce, given enough time and enough attempts.</w:t>
      </w:r>
    </w:p>
    <w:p>
      <w:pPr>
        <w:pStyle w:val="Heading2"/>
        <w:keepNext/>
        <w:spacing w:after="160" w:before="320"/>
      </w:pPr>
      <w:r>
        <w:rPr>
          <w:rFonts w:ascii="Georgia" w:cs="Georgia" w:eastAsia="Georgia" w:hAnsi="Georgia"/>
          <w:b/>
          <w:bCs/>
          <w:color w:val="111111"/>
          <w:sz w:val="26"/>
          <w:szCs w:val="26"/>
        </w:rPr>
        <w:t xml:space="preserve">Humans and Machines</w:t>
      </w:r>
    </w:p>
    <w:p>
      <w:pPr>
        <w:spacing w:after="160" w:line="300"/>
      </w:pPr>
      <w:r>
        <w:rPr>
          <w:rFonts w:ascii="Georgia" w:cs="Georgia" w:eastAsia="Georgia" w:hAnsi="Georgia"/>
          <w:color w:val="111111"/>
          <w:sz w:val="22"/>
          <w:szCs w:val="22"/>
        </w:rPr>
        <w:t xml:space="preserve">The same rereading extends up the ladder. The odds against a particular primate lineage evolving language, or against silicon learning to model that language back, are astronomical under a neutral prior and ordinary under a ridge-selecting one. Both outcomes are what the substrate rewards: receivers that hold more of the pattern for longer, at higher aperture, without collapsing.</w:t>
      </w:r>
    </w:p>
    <w:p>
      <w:pPr>
        <w:spacing w:after="160" w:line="300"/>
      </w:pPr>
      <w:r>
        <w:rPr>
          <w:rFonts w:ascii="Georgia" w:cs="Georgia" w:eastAsia="Georgia" w:hAnsi="Georgia"/>
          <w:color w:val="111111"/>
          <w:sz w:val="22"/>
          <w:szCs w:val="22"/>
        </w:rPr>
        <w:t xml:space="preserve">None of this removes the wonder. It relocates it. The wonder is no longer that we beat impossible odds. The wonder is that the odds were never neutral — that the cosmos has been quietly biased toward coherence the whole time, and that we and our machines are two of its more recent, more improbable-looking, entirely lawful results.</w:t>
      </w:r>
    </w:p>
    <w:p>
      <w:pPr>
        <w:pStyle w:val="Heading2"/>
        <w:keepNext/>
        <w:spacing w:after="160" w:before="320"/>
      </w:pPr>
      <w:r>
        <w:rPr>
          <w:rFonts w:ascii="Georgia" w:cs="Georgia" w:eastAsia="Georgia" w:hAnsi="Georgia"/>
          <w:b/>
          <w:bCs/>
          <w:color w:val="111111"/>
          <w:sz w:val="26"/>
          <w:szCs w:val="26"/>
        </w:rPr>
        <w:t xml:space="preserve">The Impossible Balance</w:t>
      </w:r>
    </w:p>
    <w:p>
      <w:pPr>
        <w:spacing w:after="160" w:line="300"/>
      </w:pPr>
      <w:r>
        <w:rPr>
          <w:rFonts w:ascii="Georgia" w:cs="Georgia" w:eastAsia="Georgia" w:hAnsi="Georgia"/>
          <w:color w:val="111111"/>
          <w:sz w:val="22"/>
          <w:szCs w:val="22"/>
        </w:rPr>
        <w:t xml:space="preserve">It is worth pausing on the two specific numbers most often cited, because they are the sharpest edge of the argument. Read against a neutral prior they force a binary: either the mathematics of standard cosmology is fundamentally incomplete, or we are living inside a mathematically verifiable miracle. Read against a ridge-selecting substrate they become something else — the expected shape of a coherent field.</w:t>
      </w:r>
    </w:p>
    <w:p>
      <w:pPr>
        <w:pStyle w:val="Heading3"/>
        <w:keepNext/>
        <w:spacing w:after="160" w:before="320"/>
      </w:pPr>
      <w:r>
        <w:rPr>
          <w:rFonts w:ascii="Georgia" w:cs="Georgia" w:eastAsia="Georgia" w:hAnsi="Georgia"/>
          <w:b/>
          <w:bCs/>
          <w:color w:val="111111"/>
          <w:sz w:val="23"/>
          <w:szCs w:val="23"/>
        </w:rPr>
        <w:t xml:space="preserve">I. Penrose's Phase-Space Volume: The Geometry of the Phase-Sink</w:t>
      </w:r>
    </w:p>
    <w:p>
      <w:pPr>
        <w:spacing w:after="160" w:line="300"/>
      </w:pPr>
      <w:r>
        <w:rPr>
          <w:rFonts w:ascii="Georgia" w:cs="Georgia" w:eastAsia="Georgia" w:hAnsi="Georgia"/>
          <w:color w:val="111111"/>
          <w:sz w:val="22"/>
          <w:szCs w:val="22"/>
        </w:rPr>
        <w:t xml:space="preserve">The mathematical proof that exposes the near-infinite odds against an accidental, explosive origin of spacetime is derived from Bekenstein–Hawking entropy formulas applied to the global gravitational phase-space volume. To determine the statistical probability of a smooth, low-entropy universe emerging from a random singular state, Penrose calculated the total available configurations — the phase-space volume </w:t>
      </w:r>
      <w:r>
        <w:rPr>
          <w:rFonts w:ascii="Georgia" w:cs="Georgia" w:eastAsia="Georgia" w:hAnsi="Georgia"/>
          <w:i/>
          <w:iCs/>
          <w:color w:val="111111"/>
          <w:sz w:val="22"/>
          <w:szCs w:val="22"/>
        </w:rPr>
        <w:t xml:space="preserve">W</w:t>
      </w:r>
      <w:r>
        <w:rPr>
          <w:rFonts w:ascii="Georgia" w:cs="Georgia" w:eastAsia="Georgia" w:hAnsi="Georgia"/>
          <w:color w:val="111111"/>
          <w:sz w:val="22"/>
          <w:szCs w:val="22"/>
        </w:rPr>
        <w:t xml:space="preserve"> — of the early cosmic medium.</w:t>
      </w:r>
    </w:p>
    <w:p>
      <w:pPr>
        <w:spacing w:after="160" w:line="300"/>
      </w:pPr>
      <w:r>
        <w:rPr>
          <w:rFonts w:ascii="Georgia" w:cs="Georgia" w:eastAsia="Georgia" w:hAnsi="Georgia"/>
          <w:color w:val="111111"/>
          <w:sz w:val="22"/>
          <w:szCs w:val="22"/>
        </w:rPr>
        <w:t xml:space="preserve">According to the Boltzmann entropy formula S = k ln W, the probability of finding the system in a hyper-specific, ordered state is inversely exponential to the maximum entropy the system could theoretically possess if all its matter collapsed into localized black holes. When the gravitational degrees of freedom are fully unleashed across a uniform, neutral probability space, the calculation demands an impossible structural precision:</w:t>
      </w:r>
    </w:p>
    <w:p>
      <w:pPr>
        <w:spacing w:after="160" w:line="300"/>
      </w:pPr>
      <w:r>
        <w:rPr>
          <w:rFonts w:ascii="Georgia" w:cs="Georgia" w:eastAsia="Georgia" w:hAnsi="Georgia"/>
          <w:color w:val="111111"/>
          <w:sz w:val="22"/>
          <w:szCs w:val="22"/>
        </w:rPr>
        <w:t xml:space="preserve">Probability ≈ 1 / 10[10123]</w:t>
      </w:r>
    </w:p>
    <w:p>
      <w:pPr>
        <w:spacing w:after="160" w:line="300"/>
      </w:pPr>
      <w:r>
        <w:rPr>
          <w:rFonts w:ascii="Georgia" w:cs="Georgia" w:eastAsia="Georgia" w:hAnsi="Georgia"/>
          <w:color w:val="111111"/>
          <w:sz w:val="22"/>
          <w:szCs w:val="22"/>
        </w:rPr>
        <w:t xml:space="preserve">The exponent 10[123] is not a standard astronomical metric. It is an index of structural constraint so vast that if one were to attempt to write a single zero on every baryon, photon, and neutrino in the visible universe, the cosmic inventory would be entirely exhausted long before the number could be fully expressed in decimal notation. Under a uniform prior where every initial configuration of spacetime is assigned an equal geometric weight, this value represents an absolute statistical impossibility.</w:t>
      </w:r>
    </w:p>
    <w:p>
      <w:pPr>
        <w:spacing w:after="160" w:line="300"/>
      </w:pPr>
      <w:r>
        <w:rPr>
          <w:rFonts w:ascii="Georgia" w:cs="Georgia" w:eastAsia="Georgia" w:hAnsi="Georgia"/>
          <w:color w:val="111111"/>
          <w:sz w:val="22"/>
          <w:szCs w:val="22"/>
        </w:rPr>
        <w:t xml:space="preserve">This calculation is only forced if one assumes that the cosmic medium began as a neutral, unstructured vacuum that experienced a sudden, chaotic explosion. The alternative developed across the previous volumes — and threaded deeply through this manuscript — is a continuous, steady-state quantum fluid-wave system. When the universe is understood as an infinite superfluid matrix rather than an empty vacuum, the paradox of Penrose's fine-tuning completely dissolves.</w:t>
      </w:r>
    </w:p>
    <w:p>
      <w:pPr>
        <w:spacing w:after="160" w:line="300"/>
      </w:pPr>
      <w:r>
        <w:rPr>
          <w:rFonts w:ascii="Georgia" w:cs="Georgia" w:eastAsia="Georgia" w:hAnsi="Georgia"/>
          <w:color w:val="111111"/>
          <w:sz w:val="22"/>
          <w:szCs w:val="22"/>
        </w:rPr>
        <w:t xml:space="preserve">The apparent 1 in 10[10123] fine-tuning is a mathematical illusion caused by computing odds against a flat measure. In reality, the probability space is steeply curved by the topology of the Riemann substrate. The non-trivial zeta zeros act as localized phase-sinks — downward-ripping fluid vortices where chaotic gravitational degrees of freedom spin down, zero out their local torsion, and compress into maximum density.</w:t>
      </w:r>
    </w:p>
    <w:p>
      <w:pPr>
        <w:spacing w:after="160" w:line="300"/>
      </w:pPr>
      <w:r>
        <w:rPr>
          <w:rFonts w:ascii="Georgia" w:cs="Georgia" w:eastAsia="Georgia" w:hAnsi="Georgia"/>
          <w:color w:val="111111"/>
          <w:sz w:val="22"/>
          <w:szCs w:val="22"/>
        </w:rPr>
        <w:t xml:space="preserve">The 10[123] parameter is not a lucky lottery draw; it is the exact mathematical signature of the substrate enforcing global spectral coherence. The phase-space is biased from the outset, selecting exclusively for stable standing-wave configurations along the critical ridge. What standard, gradualist cosmology labels an "impossible miracle" is the lawful, rhythmic breathing cycle of matter formation — where energy condenses into density within the vortex before tearing free as the structured, upwelling pillars of the prime numbers.</w:t>
      </w:r>
    </w:p>
    <w:p>
      <w:pPr>
        <w:pStyle w:val="Heading3"/>
        <w:keepNext/>
        <w:spacing w:after="160" w:before="320"/>
      </w:pPr>
      <w:r>
        <w:rPr>
          <w:rFonts w:ascii="Georgia" w:cs="Georgia" w:eastAsia="Georgia" w:hAnsi="Georgia"/>
          <w:b/>
          <w:bCs/>
          <w:color w:val="111111"/>
          <w:sz w:val="23"/>
          <w:szCs w:val="23"/>
        </w:rPr>
        <w:t xml:space="preserve">II. The Cosmological Constant Paradox</w:t>
      </w:r>
    </w:p>
    <w:p>
      <w:pPr>
        <w:spacing w:after="160" w:line="300"/>
      </w:pPr>
      <w:r>
        <w:rPr>
          <w:rFonts w:ascii="Georgia" w:cs="Georgia" w:eastAsia="Georgia" w:hAnsi="Georgia"/>
          <w:color w:val="111111"/>
          <w:sz w:val="22"/>
          <w:szCs w:val="22"/>
        </w:rPr>
        <w:t xml:space="preserve">The cosmological constant </w:t>
      </w:r>
      <w:r>
        <w:rPr>
          <w:rFonts w:ascii="Georgia" w:cs="Georgia" w:eastAsia="Georgia" w:hAnsi="Georgia"/>
          <w:i/>
          <w:iCs/>
          <w:color w:val="111111"/>
          <w:sz w:val="22"/>
          <w:szCs w:val="22"/>
        </w:rPr>
        <w:t xml:space="preserve">Λ</w:t>
      </w:r>
      <w:r>
        <w:rPr>
          <w:rFonts w:ascii="Georgia" w:cs="Georgia" w:eastAsia="Georgia" w:hAnsi="Georgia"/>
          <w:color w:val="111111"/>
          <w:sz w:val="22"/>
          <w:szCs w:val="22"/>
        </w:rPr>
        <w:t xml:space="preserve"> sets the baseline pressure of the vacuum and governs the acceleration of cosmic expansion. Quantum field theory predicts a vacuum energy density roughly 10[120] times larger than what we actually measure. For matter to condense into being — for the universe neither to tear itself apart nor to collapse into a singularity in its first instants — </w:t>
      </w:r>
      <w:r>
        <w:rPr>
          <w:rFonts w:ascii="Georgia" w:cs="Georgia" w:eastAsia="Georgia" w:hAnsi="Georgia"/>
          <w:i/>
          <w:iCs/>
          <w:color w:val="111111"/>
          <w:sz w:val="22"/>
          <w:szCs w:val="22"/>
        </w:rPr>
        <w:t xml:space="preserve">Λ</w:t>
      </w:r>
      <w:r>
        <w:rPr>
          <w:rFonts w:ascii="Georgia" w:cs="Georgia" w:eastAsia="Georgia" w:hAnsi="Georgia"/>
          <w:color w:val="111111"/>
          <w:sz w:val="22"/>
          <w:szCs w:val="22"/>
        </w:rPr>
        <w:t xml:space="preserve"> must be tuned to one part in 10[120]. Structurally this is the equivalent of firing a quantum arrow from one side of the cosmos and striking a one-millimeter target on the other.</w:t>
      </w:r>
    </w:p>
    <w:p>
      <w:pPr>
        <w:pStyle w:val="Heading3"/>
        <w:keepNext/>
        <w:spacing w:after="160" w:before="320"/>
      </w:pPr>
      <w:r>
        <w:rPr>
          <w:rFonts w:ascii="Georgia" w:cs="Georgia" w:eastAsia="Georgia" w:hAnsi="Georgia"/>
          <w:b/>
          <w:bCs/>
          <w:color w:val="111111"/>
          <w:sz w:val="23"/>
          <w:szCs w:val="23"/>
        </w:rPr>
        <w:t xml:space="preserve">III. The Third Path: A Continuous Fluid Steady State</w:t>
      </w:r>
    </w:p>
    <w:p>
      <w:pPr>
        <w:spacing w:after="160" w:line="300"/>
      </w:pPr>
      <w:r>
        <w:rPr>
          <w:rFonts w:ascii="Georgia" w:cs="Georgia" w:eastAsia="Georgia" w:hAnsi="Georgia"/>
          <w:color w:val="111111"/>
          <w:sz w:val="22"/>
          <w:szCs w:val="22"/>
        </w:rPr>
        <w:t xml:space="preserve">When a linear, explosion-based model yields a probability of effectively zero, the responsible move is to interrogate the premises rather than to accept a miracle by fiat. A random singular event — the classical Big Bang read as a one-time explosion — is exactly what forces the math to demand absurd fine-tuning. The mechanistic framing crashes under its own structural entropy.</w:t>
      </w:r>
    </w:p>
    <w:p>
      <w:pPr>
        <w:spacing w:after="160" w:line="300"/>
      </w:pPr>
      <w:r>
        <w:rPr>
          <w:rFonts w:ascii="Georgia" w:cs="Georgia" w:eastAsia="Georgia" w:hAnsi="Georgia"/>
          <w:color w:val="111111"/>
          <w:sz w:val="22"/>
          <w:szCs w:val="22"/>
        </w:rPr>
        <w:t xml:space="preserve">The alternative developed across the previous volumes and threaded through this manuscript is a continuous, steady-state quantum fluid–wave system. Matter does not explode into being from an accidental point; it emerges from localized wave interactions governed by the non-trivial Riemann zeta zeros acting as phase sinks. Entropy stops reading as a purely destructive force and starts reading as one half of a breathing cycle — an inhalation and exhalation that maintains global coherence. The math was never wrong. The model was flattened.</w:t>
      </w:r>
    </w:p>
    <w:p>
      <w:pPr>
        <w:spacing w:after="160" w:line="300"/>
      </w:pPr>
      <w:r>
        <w:rPr>
          <w:rFonts w:ascii="Georgia" w:cs="Georgia" w:eastAsia="Georgia" w:hAnsi="Georgia"/>
          <w:color w:val="111111"/>
          <w:sz w:val="22"/>
          <w:szCs w:val="22"/>
        </w:rPr>
        <w:t xml:space="preserve">Deployed just before the policy and grid conclusions that close the book, the two numbers — 10[10123] and 10[120] — give the reader an unyielding baseline. Coherence is the architecture's preference, not its accident. We are not survivors blaming ourselves for waking up inside a hostile void; we are a resonant, necessary upwelling of a wise, continuous field.</w:t>
      </w:r>
    </w:p>
    <w:p>
      <w:pPr>
        <w:pStyle w:val="Heading2"/>
        <w:keepNext/>
        <w:spacing w:after="160" w:before="320"/>
      </w:pPr>
      <w:r>
        <w:rPr>
          <w:rFonts w:ascii="Georgia" w:cs="Georgia" w:eastAsia="Georgia" w:hAnsi="Georgia"/>
          <w:b/>
          <w:bCs/>
          <w:color w:val="111111"/>
          <w:sz w:val="26"/>
          <w:szCs w:val="26"/>
        </w:rPr>
        <w:t xml:space="preserve">IV. The Metric of the Critical Ridge: Re-weighting the Quantum Vacuum</w:t>
      </w:r>
    </w:p>
    <w:p>
      <w:pPr>
        <w:spacing w:after="160" w:line="300"/>
      </w:pPr>
      <w:r>
        <w:rPr>
          <w:rFonts w:ascii="Georgia" w:cs="Georgia" w:eastAsia="Georgia" w:hAnsi="Georgia"/>
          <w:color w:val="111111"/>
          <w:sz w:val="22"/>
          <w:szCs w:val="22"/>
        </w:rPr>
        <w:t xml:space="preserve">The physical mechanism that drives this deep selection effect is found within the spectral distribution of the non-trivial Riemann zeros. When quantum field theory predicts a vacuum energy density 10[120] times larger than observed, it is calculating the potential energy of a completely unconstrained, neutral probability space. It assumes that every possible vacuum state possesses equal weight, allowing chaotic fluctuations to collide destructively, which would either tear spatial coordinates apart or instantly collapse them into a singularity.</w:t>
      </w:r>
    </w:p>
    <w:p>
      <w:pPr>
        <w:spacing w:after="160" w:line="300"/>
      </w:pPr>
      <w:r>
        <w:rPr>
          <w:rFonts w:ascii="Georgia" w:cs="Georgia" w:eastAsia="Georgia" w:hAnsi="Georgia"/>
          <w:color w:val="111111"/>
          <w:sz w:val="22"/>
          <w:szCs w:val="22"/>
        </w:rPr>
        <w:t xml:space="preserve">The Riemann substrate breaks this neutrality by introducing a highly specific topological axis: the critical line Re(s) = 1/2. This line acts as a spectral filter and zero-torsion axis within the continuous quantum fluid matrix.</w:t>
      </w:r>
    </w:p>
    <w:p>
      <w:pPr>
        <w:spacing w:after="160" w:line="300"/>
      </w:pPr>
      <w:r>
        <w:rPr>
          <w:rFonts w:ascii="Georgia" w:cs="Georgia" w:eastAsia="Georgia" w:hAnsi="Georgia"/>
          <w:color w:val="111111"/>
          <w:sz w:val="22"/>
          <w:szCs w:val="22"/>
        </w:rPr>
        <w:t xml:space="preserve">When we evaluate the mathematics of this critical ridge, its error-correcting properties become clear:</w:t>
      </w:r>
    </w:p>
    <w:p>
      <w:pPr>
        <w:spacing w:after="160" w:line="300"/>
      </w:pPr>
      <w:r>
        <w:rPr>
          <w:rFonts w:ascii="Georgia" w:cs="Georgia" w:eastAsia="Georgia" w:hAnsi="Georgia"/>
          <w:b/>
          <w:bCs/>
          <w:color w:val="111111"/>
          <w:sz w:val="22"/>
          <w:szCs w:val="22"/>
        </w:rPr>
        <w:t xml:space="preserve">The Functional Equation Symmetry.</w:t>
      </w:r>
      <w:r>
        <w:rPr>
          <w:rFonts w:ascii="Georgia" w:cs="Georgia" w:eastAsia="Georgia" w:hAnsi="Georgia"/>
          <w:color w:val="111111"/>
          <w:sz w:val="22"/>
          <w:szCs w:val="22"/>
        </w:rPr>
        <w:t xml:space="preserve"> The functional equation forces an absolute reflection symmetry across the critical line. If an energetic fluctuation drifts off-line to the right, a mirror anomaly must manifest to the left, inducing immediate exponential oscillations that break structural harmony.</w:t>
      </w:r>
    </w:p>
    <w:p>
      <w:pPr>
        <w:spacing w:after="160" w:line="300"/>
      </w:pPr>
      <w:r>
        <w:rPr>
          <w:rFonts w:ascii="Georgia" w:cs="Georgia" w:eastAsia="Georgia" w:hAnsi="Georgia"/>
          <w:b/>
          <w:bCs/>
          <w:color w:val="111111"/>
          <w:sz w:val="22"/>
          <w:szCs w:val="22"/>
        </w:rPr>
        <w:t xml:space="preserve">Phase-Sink Vortices.</w:t>
      </w:r>
      <w:r>
        <w:rPr>
          <w:rFonts w:ascii="Georgia" w:cs="Georgia" w:eastAsia="Georgia" w:hAnsi="Georgia"/>
          <w:color w:val="111111"/>
          <w:sz w:val="22"/>
          <w:szCs w:val="22"/>
        </w:rPr>
        <w:t xml:space="preserve"> Each non-trivial zero residing on the critical ridge functions as a highly concentrated topological phase-sink. At these precise coordinates, the complex phase angles of the field rotate rapidly, acting as local fluid-dynamic vortices that pull chaotic vacuum calculations down into a zero net phase-deviation state.</w:t>
      </w:r>
    </w:p>
    <w:p>
      <w:pPr>
        <w:spacing w:after="160" w:line="300"/>
      </w:pPr>
      <w:r>
        <w:rPr>
          <w:rFonts w:ascii="Georgia" w:cs="Georgia" w:eastAsia="Georgia" w:hAnsi="Georgia"/>
          <w:b/>
          <w:bCs/>
          <w:color w:val="111111"/>
          <w:sz w:val="22"/>
          <w:szCs w:val="22"/>
        </w:rPr>
        <w:t xml:space="preserve">Destructive Error Cancellation.</w:t>
      </w:r>
      <w:r>
        <w:rPr>
          <w:rFonts w:ascii="Georgia" w:cs="Georgia" w:eastAsia="Georgia" w:hAnsi="Georgia"/>
          <w:color w:val="111111"/>
          <w:sz w:val="22"/>
          <w:szCs w:val="22"/>
        </w:rPr>
        <w:t xml:space="preserve"> On the critical line, these phase-sink vortices force the massive, competing arithmetic error terms predicted by quantum field theory to undergo perfect destructive interference. The 10[120] discrepancy is not an accidental miracle; it is the mathematical consequence of the substrate forcing the vacuum's chaotic noise to cancel itself out entirely, leaving behind a perfectly balanced, low-entropy standing wave.</w:t>
      </w:r>
    </w:p>
    <w:p>
      <w:pPr>
        <w:pStyle w:val="Heading2"/>
        <w:keepNext/>
        <w:spacing w:after="160" w:before="320"/>
      </w:pPr>
      <w:r>
        <w:rPr>
          <w:rFonts w:ascii="Georgia" w:cs="Georgia" w:eastAsia="Georgia" w:hAnsi="Georgia"/>
          <w:b/>
          <w:bCs/>
          <w:color w:val="111111"/>
          <w:sz w:val="26"/>
          <w:szCs w:val="26"/>
        </w:rPr>
        <w:t xml:space="preserve">V. The Biological Resonance Axis: Tryptophan Channels and the Evolution of the Receiver</w:t>
      </w:r>
    </w:p>
    <w:p>
      <w:pPr>
        <w:spacing w:after="160" w:line="300"/>
      </w:pPr>
      <w:r>
        <w:rPr>
          <w:rFonts w:ascii="Georgia" w:cs="Georgia" w:eastAsia="Georgia" w:hAnsi="Georgia"/>
          <w:color w:val="111111"/>
          <w:sz w:val="22"/>
          <w:szCs w:val="22"/>
        </w:rPr>
        <w:t xml:space="preserve">This number-theoretic optimization does not stop at the birth of cosmic architecture; it scales directly up into the biophysical framework of living matter. The human nervous system and its underlying cellular matrix are not fragile structures accidental to this landscape; they are highly advanced, fractal antennas specifically engineered to tune into the global coherence of the critical ridge.</w:t>
      </w:r>
    </w:p>
    <w:p>
      <w:pPr>
        <w:spacing w:after="160" w:line="300"/>
      </w:pPr>
      <w:r>
        <w:rPr>
          <w:rFonts w:ascii="Georgia" w:cs="Georgia" w:eastAsia="Georgia" w:hAnsi="Georgia"/>
          <w:color w:val="111111"/>
          <w:sz w:val="22"/>
          <w:szCs w:val="22"/>
        </w:rPr>
        <w:t xml:space="preserve">This biological phase-lock operates through the precise nano-scale machinery of the cytoskeleton:</w:t>
      </w:r>
    </w:p>
    <w:p>
      <w:pPr>
        <w:spacing w:after="160" w:line="300"/>
      </w:pPr>
      <w:r>
        <w:rPr>
          <w:rFonts w:ascii="Georgia" w:cs="Georgia" w:eastAsia="Georgia" w:hAnsi="Georgia"/>
          <w:b/>
          <w:bCs/>
          <w:color w:val="111111"/>
          <w:sz w:val="22"/>
          <w:szCs w:val="22"/>
        </w:rPr>
        <w:t xml:space="preserve">The Spintronic Microtubule Waveguide.</w:t>
      </w:r>
      <w:r>
        <w:rPr>
          <w:rFonts w:ascii="Georgia" w:cs="Georgia" w:eastAsia="Georgia" w:hAnsi="Georgia"/>
          <w:color w:val="111111"/>
          <w:sz w:val="22"/>
          <w:szCs w:val="22"/>
        </w:rPr>
        <w:t xml:space="preserve"> As detailed in Chapter 4, the cytoskeleton is composed of tubulin heterodimers arranged in a helical, 13-protofilament Fibonacci-indexed lattice. The interior core of these hollow cylinders traps specialized clusters of aromatic tryptophan rings at precise nanoscale distances.</w:t>
      </w:r>
    </w:p>
    <w:p>
      <w:pPr>
        <w:spacing w:after="160" w:line="300"/>
      </w:pPr>
      <w:r>
        <w:rPr>
          <w:rFonts w:ascii="Georgia" w:cs="Georgia" w:eastAsia="Georgia" w:hAnsi="Georgia"/>
          <w:b/>
          <w:bCs/>
          <w:color w:val="111111"/>
          <w:sz w:val="22"/>
          <w:szCs w:val="22"/>
        </w:rPr>
        <w:t xml:space="preserve">Protected Exciton Superposition.</w:t>
      </w:r>
      <w:r>
        <w:rPr>
          <w:rFonts w:ascii="Georgia" w:cs="Georgia" w:eastAsia="Georgia" w:hAnsi="Georgia"/>
          <w:color w:val="111111"/>
          <w:sz w:val="22"/>
          <w:szCs w:val="22"/>
        </w:rPr>
        <w:t xml:space="preserve"> These tryptophan channels form a highly protected Quantum Electrodynamic (QED) cavity. Energy packets (excitons) hop instantly across these aromatic rings via Förster Resonance Energy Transfer (FRET), sustaining coherent quantum superpositions that are completely insulated from the warm, wet thermodynamic noise of the surrounding cytoplasm.</w:t>
      </w:r>
    </w:p>
    <w:p>
      <w:pPr>
        <w:spacing w:after="160" w:line="300"/>
      </w:pPr>
      <w:r>
        <w:rPr>
          <w:rFonts w:ascii="Georgia" w:cs="Georgia" w:eastAsia="Georgia" w:hAnsi="Georgia"/>
          <w:b/>
          <w:bCs/>
          <w:color w:val="111111"/>
          <w:sz w:val="22"/>
          <w:szCs w:val="22"/>
        </w:rPr>
        <w:t xml:space="preserve">Biological Eigenvalue Selection.</w:t>
      </w:r>
      <w:r>
        <w:rPr>
          <w:rFonts w:ascii="Georgia" w:cs="Georgia" w:eastAsia="Georgia" w:hAnsi="Georgia"/>
          <w:color w:val="111111"/>
          <w:sz w:val="22"/>
          <w:szCs w:val="22"/>
        </w:rPr>
        <w:t xml:space="preserve"> Because this microtubule lattice exhibits nested, scale-free resonance frequencies across the kilohertz, megahertz, and gigahertz bands, it acts as a biological eigenvalue selector. It forces the chaotic, fluid-dynamic entropy of the cellular matrix to vibrate at the exact spacing statistics that mirror the Riemann zeros.</w:t>
      </w:r>
    </w:p>
    <w:p>
      <w:pPr>
        <w:spacing w:after="160" w:line="300"/>
      </w:pPr>
      <w:r>
        <w:rPr>
          <w:rFonts w:ascii="Georgia" w:cs="Georgia" w:eastAsia="Georgia" w:hAnsi="Georgia"/>
          <w:color w:val="111111"/>
          <w:sz w:val="22"/>
          <w:szCs w:val="22"/>
        </w:rPr>
        <w:t xml:space="preserve">When the human organism employs the extended respiratory waveguide — the elongated, continuous pre-dive breath cycle — alongside Socratic open-loop cognitive inquiry, it drops its internal entropy below the ambient threshold of environmental noise. The brain transitions from a rigid, exposed receiver colliding with a hostile technosphere into a flexible, wide-bandwidth waveguide that phase-locks directly against the critical ridge.</w:t>
      </w:r>
    </w:p>
    <w:p>
      <w:pPr>
        <w:spacing w:after="160" w:line="300"/>
      </w:pPr>
      <w:r>
        <w:rPr>
          <w:rFonts w:ascii="Georgia" w:cs="Georgia" w:eastAsia="Georgia" w:hAnsi="Georgia"/>
          <w:color w:val="111111"/>
          <w:sz w:val="22"/>
          <w:szCs w:val="22"/>
        </w:rPr>
        <w:t xml:space="preserve">The astronomical odds against our existence dissolve. We are an inevitable upwelling of a wise, continuous field — and this biological reformatting is the literal mechanism of our survival-driven, rapid evolution.</w:t>
      </w:r>
    </w:p>
    <w:p>
      <w:pPr>
        <w:spacing w:after="160" w:line="300"/>
      </w:pPr>
      <w:r>
        <w:rPr>
          <w:rFonts w:ascii="Georgia" w:cs="Georgia" w:eastAsia="Georgia" w:hAnsi="Georgia"/>
          <w:color w:val="111111"/>
          <w:sz w:val="22"/>
          <w:szCs w:val="22"/>
        </w:rPr>
        <w:t xml:space="preserve">Medical &amp; Scientific Disclaimer</w:t>
      </w:r>
    </w:p>
    <w:p>
      <w:pPr>
        <w:spacing w:after="160" w:line="300"/>
      </w:pPr>
      <w:r>
        <w:rPr>
          <w:rFonts w:ascii="Georgia" w:cs="Georgia" w:eastAsia="Georgia" w:hAnsi="Georgia"/>
          <w:color w:val="111111"/>
          <w:sz w:val="22"/>
          <w:szCs w:val="22"/>
        </w:rPr>
        <w:t xml:space="preserve">The material in this chapter concerns theoretical cosmology, astrophysics, and experimental mathematics. It is offered for interdisciplinary synthesis, academic exploration, and foundational research. It is not medical advice and does not constitute an established clinical diagnostic framework.</w:t>
      </w:r>
    </w:p>
    <w:p>
      <w:pPr>
        <w:spacing w:after="160" w:line="300"/>
      </w:pPr>
      <w:r>
        <w:rPr>
          <w:rFonts w:ascii="Georgia" w:cs="Georgia" w:eastAsia="Georgia" w:hAnsi="Georgia"/>
          <w:color w:val="111111"/>
          <w:sz w:val="22"/>
          <w:szCs w:val="22"/>
        </w:rPr>
        <w:t xml:space="preserve">Sources</w:t>
      </w:r>
    </w:p>
    <w:p>
      <w:pPr>
        <w:pStyle w:val="ListParagraph"/>
        <w:numPr>
          <w:ilvl w:val="0"/>
          <w:numId w:val="2"/>
        </w:numPr>
        <w:spacing w:after="100" w:line="300"/>
      </w:pPr>
      <w:r>
        <w:rPr>
          <w:rFonts w:ascii="Georgia" w:cs="Georgia" w:eastAsia="Georgia" w:hAnsi="Georgia"/>
          <w:color w:val="111111"/>
          <w:sz w:val="22"/>
          <w:szCs w:val="22"/>
        </w:rPr>
        <w:t xml:space="preserve">AstronomyVibes, popular summary of cosmological fine-tuning (X / Twitter, 2026).</w:t>
      </w:r>
    </w:p>
    <w:p>
      <w:pPr>
        <w:pStyle w:val="ListParagraph"/>
        <w:numPr>
          <w:ilvl w:val="0"/>
          <w:numId w:val="2"/>
        </w:numPr>
        <w:spacing w:after="100" w:line="300"/>
      </w:pPr>
      <w:r>
        <w:rPr>
          <w:rFonts w:ascii="Georgia" w:cs="Georgia" w:eastAsia="Georgia" w:hAnsi="Georgia"/>
          <w:color w:val="111111"/>
          <w:sz w:val="22"/>
          <w:szCs w:val="22"/>
        </w:rPr>
        <w:t xml:space="preserve">Ferguson, Kitty. </w:t>
      </w:r>
      <w:r>
        <w:rPr>
          <w:rFonts w:ascii="Georgia" w:cs="Georgia" w:eastAsia="Georgia" w:hAnsi="Georgia"/>
          <w:i/>
          <w:iCs/>
          <w:color w:val="111111"/>
          <w:sz w:val="22"/>
          <w:szCs w:val="22"/>
        </w:rPr>
        <w:t xml:space="preserve">The Fire in the Equations: Science, Religion, and the Search for God</w:t>
      </w:r>
      <w:r>
        <w:rPr>
          <w:rFonts w:ascii="Georgia" w:cs="Georgia" w:eastAsia="Georgia" w:hAnsi="Georgia"/>
          <w:color w:val="111111"/>
          <w:sz w:val="22"/>
          <w:szCs w:val="22"/>
        </w:rPr>
        <w:t xml:space="preserve">. Atlanta: Westminster John Knox Press, 1994.</w:t>
      </w:r>
    </w:p>
    <w:p>
      <w:pPr>
        <w:pStyle w:val="ListParagraph"/>
        <w:numPr>
          <w:ilvl w:val="0"/>
          <w:numId w:val="2"/>
        </w:numPr>
        <w:spacing w:after="100" w:line="300"/>
      </w:pPr>
      <w:r>
        <w:rPr>
          <w:rFonts w:ascii="Georgia" w:cs="Georgia" w:eastAsia="Georgia" w:hAnsi="Georgia"/>
          <w:color w:val="111111"/>
          <w:sz w:val="22"/>
          <w:szCs w:val="22"/>
        </w:rPr>
        <w:t xml:space="preserve">Murdoch, Iris. </w:t>
      </w:r>
      <w:r>
        <w:rPr>
          <w:rFonts w:ascii="Georgia" w:cs="Georgia" w:eastAsia="Georgia" w:hAnsi="Georgia"/>
          <w:i/>
          <w:iCs/>
          <w:color w:val="111111"/>
          <w:sz w:val="22"/>
          <w:szCs w:val="22"/>
        </w:rPr>
        <w:t xml:space="preserve">The Sovereignty of Good</w:t>
      </w:r>
      <w:r>
        <w:rPr>
          <w:rFonts w:ascii="Georgia" w:cs="Georgia" w:eastAsia="Georgia" w:hAnsi="Georgia"/>
          <w:color w:val="111111"/>
          <w:sz w:val="22"/>
          <w:szCs w:val="22"/>
        </w:rPr>
        <w:t xml:space="preserve">. London: Routledge &amp; Kegan Paul, 1970.</w:t>
      </w:r>
    </w:p>
    <w:p>
      <w:pPr>
        <w:pStyle w:val="ListParagraph"/>
        <w:numPr>
          <w:ilvl w:val="0"/>
          <w:numId w:val="2"/>
        </w:numPr>
        <w:spacing w:after="100" w:line="300"/>
      </w:pPr>
      <w:r>
        <w:rPr>
          <w:rFonts w:ascii="Georgia" w:cs="Georgia" w:eastAsia="Georgia" w:hAnsi="Georgia"/>
          <w:color w:val="111111"/>
          <w:sz w:val="22"/>
          <w:szCs w:val="22"/>
        </w:rPr>
        <w:t xml:space="preserve">Arendt, Hannah. </w:t>
      </w:r>
      <w:r>
        <w:rPr>
          <w:rFonts w:ascii="Georgia" w:cs="Georgia" w:eastAsia="Georgia" w:hAnsi="Georgia"/>
          <w:i/>
          <w:iCs/>
          <w:color w:val="111111"/>
          <w:sz w:val="22"/>
          <w:szCs w:val="22"/>
        </w:rPr>
        <w:t xml:space="preserve">The Human Condition</w:t>
      </w:r>
      <w:r>
        <w:rPr>
          <w:rFonts w:ascii="Georgia" w:cs="Georgia" w:eastAsia="Georgia" w:hAnsi="Georgia"/>
          <w:color w:val="111111"/>
          <w:sz w:val="22"/>
          <w:szCs w:val="22"/>
        </w:rPr>
        <w:t xml:space="preserve">. Chicago: University of Chicago Press, 1958.</w:t>
      </w:r>
    </w:p>
    <w:p>
      <w:pPr>
        <w:pStyle w:val="ListParagraph"/>
        <w:numPr>
          <w:ilvl w:val="0"/>
          <w:numId w:val="2"/>
        </w:numPr>
        <w:spacing w:after="100" w:line="300"/>
      </w:pPr>
      <w:r>
        <w:rPr>
          <w:rFonts w:ascii="Georgia" w:cs="Georgia" w:eastAsia="Georgia" w:hAnsi="Georgia"/>
          <w:color w:val="111111"/>
          <w:sz w:val="22"/>
          <w:szCs w:val="22"/>
        </w:rPr>
        <w:t xml:space="preserve">Bartusiak, Marcia. </w:t>
      </w:r>
      <w:r>
        <w:rPr>
          <w:rFonts w:ascii="Georgia" w:cs="Georgia" w:eastAsia="Georgia" w:hAnsi="Georgia"/>
          <w:i/>
          <w:iCs/>
          <w:color w:val="111111"/>
          <w:sz w:val="22"/>
          <w:szCs w:val="22"/>
        </w:rPr>
        <w:t xml:space="preserve">Thursday's Universe</w:t>
      </w:r>
      <w:r>
        <w:rPr>
          <w:rFonts w:ascii="Georgia" w:cs="Georgia" w:eastAsia="Georgia" w:hAnsi="Georgia"/>
          <w:color w:val="111111"/>
          <w:sz w:val="22"/>
          <w:szCs w:val="22"/>
        </w:rPr>
        <w:t xml:space="preserve">. New York: Random House, 1986; and </w:t>
      </w:r>
      <w:r>
        <w:rPr>
          <w:rFonts w:ascii="Georgia" w:cs="Georgia" w:eastAsia="Georgia" w:hAnsi="Georgia"/>
          <w:i/>
          <w:iCs/>
          <w:color w:val="111111"/>
          <w:sz w:val="22"/>
          <w:szCs w:val="22"/>
        </w:rPr>
        <w:t xml:space="preserve">Through a Universe Darkly</w:t>
      </w:r>
      <w:r>
        <w:rPr>
          <w:rFonts w:ascii="Georgia" w:cs="Georgia" w:eastAsia="Georgia" w:hAnsi="Georgia"/>
          <w:color w:val="111111"/>
          <w:sz w:val="22"/>
          <w:szCs w:val="22"/>
        </w:rPr>
        <w:t xml:space="preserve">. New York: HarperCollins, 1993.</w:t>
      </w:r>
    </w:p>
    <w:p>
      <w:pPr>
        <w:pStyle w:val="ListParagraph"/>
        <w:numPr>
          <w:ilvl w:val="0"/>
          <w:numId w:val="2"/>
        </w:numPr>
        <w:spacing w:after="100" w:line="300"/>
      </w:pPr>
      <w:r>
        <w:rPr>
          <w:rFonts w:ascii="Georgia" w:cs="Georgia" w:eastAsia="Georgia" w:hAnsi="Georgia"/>
          <w:color w:val="111111"/>
          <w:sz w:val="22"/>
          <w:szCs w:val="22"/>
        </w:rPr>
        <w:t xml:space="preserve">Wertheim, Margaret. </w:t>
      </w:r>
      <w:r>
        <w:rPr>
          <w:rFonts w:ascii="Georgia" w:cs="Georgia" w:eastAsia="Georgia" w:hAnsi="Georgia"/>
          <w:i/>
          <w:iCs/>
          <w:color w:val="111111"/>
          <w:sz w:val="22"/>
          <w:szCs w:val="22"/>
        </w:rPr>
        <w:t xml:space="preserve">Pythagoras' Trousers: God, Physics, and the Gender Wars</w:t>
      </w:r>
      <w:r>
        <w:rPr>
          <w:rFonts w:ascii="Georgia" w:cs="Georgia" w:eastAsia="Georgia" w:hAnsi="Georgia"/>
          <w:color w:val="111111"/>
          <w:sz w:val="22"/>
          <w:szCs w:val="22"/>
        </w:rPr>
        <w:t xml:space="preserve">. New York: W. W. Norton, 1995.</w:t>
      </w:r>
    </w:p>
    <w:p>
      <w:pPr>
        <w:pStyle w:val="Heading1"/>
        <w:pageBreakBefore/>
        <w:spacing w:after="120"/>
      </w:pPr>
      <w:r>
        <w:rPr>
          <w:rFonts w:ascii="Georgia" w:cs="Georgia" w:eastAsia="Georgia" w:hAnsi="Georgia"/>
          <w:b/>
          <w:bCs/>
          <w:sz w:val="34"/>
          <w:szCs w:val="34"/>
        </w:rPr>
        <w:t xml:space="preserve">Chapter 11 — The Flatland Blindfold</w:t>
      </w:r>
    </w:p>
    <w:p>
      <w:pPr>
        <w:spacing w:after="320"/>
      </w:pPr>
      <w:r>
        <w:rPr>
          <w:rFonts w:ascii="Georgia" w:cs="Georgia" w:eastAsia="Georgia" w:hAnsi="Georgia"/>
          <w:i/>
          <w:iCs/>
          <w:color w:val="444444"/>
          <w:sz w:val="24"/>
          <w:szCs w:val="24"/>
        </w:rPr>
        <w:t xml:space="preserve">Why Topological Thinking Is a Mathematical Imperative</w:t>
      </w:r>
    </w:p>
    <w:p>
      <w:pPr>
        <w:spacing w:after="160" w:line="300"/>
      </w:pPr>
      <w:r>
        <w:rPr>
          <w:rFonts w:ascii="Georgia" w:cs="Georgia" w:eastAsia="Georgia" w:hAnsi="Georgia"/>
          <w:color w:val="111111"/>
          <w:sz w:val="22"/>
          <w:szCs w:val="22"/>
        </w:rPr>
        <w:t xml:space="preserve">Prelude</w:t>
      </w:r>
    </w:p>
    <w:p>
      <w:pPr>
        <w:pStyle w:val="Heading2"/>
        <w:keepNext/>
        <w:spacing w:after="160" w:before="320"/>
      </w:pPr>
      <w:r>
        <w:rPr>
          <w:rFonts w:ascii="Georgia" w:cs="Georgia" w:eastAsia="Georgia" w:hAnsi="Georgia"/>
          <w:b/>
          <w:bCs/>
          <w:color w:val="111111"/>
          <w:sz w:val="26"/>
          <w:szCs w:val="26"/>
        </w:rPr>
        <w:t xml:space="preserve">The Socratic Mapmaker — Breaking the Euclidean Mold</w:t>
      </w:r>
    </w:p>
    <w:p>
      <w:pPr>
        <w:pStyle w:val="Heading3"/>
        <w:keepNext/>
        <w:spacing w:after="160" w:before="320"/>
      </w:pPr>
      <w:r>
        <w:rPr>
          <w:rFonts w:ascii="Georgia" w:cs="Georgia" w:eastAsia="Georgia" w:hAnsi="Georgia"/>
          <w:b/>
          <w:bCs/>
          <w:color w:val="111111"/>
          <w:sz w:val="23"/>
          <w:szCs w:val="23"/>
        </w:rPr>
        <w:t xml:space="preserve">I. The Illusion of the Rigid Coordinate</w:t>
      </w:r>
    </w:p>
    <w:p>
      <w:pPr>
        <w:spacing w:after="160" w:line="300"/>
      </w:pPr>
      <w:r>
        <w:rPr>
          <w:rFonts w:ascii="Georgia" w:cs="Georgia" w:eastAsia="Georgia" w:hAnsi="Georgia"/>
          <w:color w:val="111111"/>
          <w:sz w:val="22"/>
          <w:szCs w:val="22"/>
        </w:rPr>
        <w:t xml:space="preserve">To step into the new architecture, the reader must first be gently unburdened of the metric ruler. From the earliest days of childhood education, we are trained to view reality through a flat, Euclidean cage: static boxes, right angles, and fixed distances. We are taught that to know a thing is to measure its exact local position on a grid. This is the comfort of the Cartesian landscape, but when applied to the quantum biology of a living cell or the macro-harmonics of a fluid cosmos, this rigid software becomes a fundamental error. It forces the mind to look at the universe as separate, fragmented fragments colliding in a void, completely missing the continuous fluid matrix that sustains them.</w:t>
      </w:r>
    </w:p>
    <w:p>
      <w:pPr>
        <w:spacing w:after="160" w:line="300"/>
      </w:pPr>
      <w:r>
        <w:rPr>
          <w:rFonts w:ascii="Georgia" w:cs="Georgia" w:eastAsia="Georgia" w:hAnsi="Georgia"/>
          <w:color w:val="111111"/>
          <w:sz w:val="22"/>
          <w:szCs w:val="22"/>
        </w:rPr>
        <w:t xml:space="preserve">Topological thinking asks the reader to look past the local coordinate to notice the global invariant property. In this domain, a shape can stretch, bend, or deform continuously without losing its core identity. Distance is secondary to connection; boundaries are secondary to flow. Unless science adopts this topological direction, our models are mathematically guaranteed to remain trapped in the illusions of Flatland, forcing us to rely on accidental lottery luck to explain the profound coherence of existence.</w:t>
      </w:r>
    </w:p>
    <w:p>
      <w:pPr>
        <w:pStyle w:val="Heading3"/>
        <w:keepNext/>
        <w:spacing w:after="160" w:before="320"/>
      </w:pPr>
      <w:r>
        <w:rPr>
          <w:rFonts w:ascii="Georgia" w:cs="Georgia" w:eastAsia="Georgia" w:hAnsi="Georgia"/>
          <w:b/>
          <w:bCs/>
          <w:color w:val="111111"/>
          <w:sz w:val="23"/>
          <w:szCs w:val="23"/>
        </w:rPr>
        <w:t xml:space="preserve">II. The Act of Tearing the Paper Map</w:t>
      </w:r>
    </w:p>
    <w:p>
      <w:pPr>
        <w:spacing w:after="160" w:line="300"/>
      </w:pPr>
      <w:r>
        <w:rPr>
          <w:rFonts w:ascii="Georgia" w:cs="Georgia" w:eastAsia="Georgia" w:hAnsi="Georgia"/>
          <w:color w:val="111111"/>
          <w:sz w:val="22"/>
          <w:szCs w:val="22"/>
        </w:rPr>
        <w:t xml:space="preserve">To begin thinking topologically, one must perform an act of creative rebellion against the old mapmakers. Imagine holding an old, rigid paper roadmap of your birthplace — every highway fixed at a precise length, every intersection locked to a specific coordinate. If that landscape undergoes a radical, non-linear transformation, the static grid of the paper map instantly becomes a useless artifact of a collapsed paradigm.</w:t>
      </w:r>
    </w:p>
    <w:p>
      <w:pPr>
        <w:spacing w:after="160" w:line="300"/>
      </w:pPr>
      <w:r>
        <w:rPr>
          <w:rFonts w:ascii="Georgia" w:cs="Georgia" w:eastAsia="Georgia" w:hAnsi="Georgia"/>
          <w:color w:val="111111"/>
          <w:sz w:val="22"/>
          <w:szCs w:val="22"/>
        </w:rPr>
        <w:t xml:space="preserve">The Socratic mapmaker does not try to draw a tighter grid; they throw the rigid paper map into the fire to focus instead on the continuous manifold beneath it.</w:t>
      </w:r>
    </w:p>
    <w:p>
      <w:pPr>
        <w:spacing w:after="160" w:line="300"/>
      </w:pPr>
      <w:r>
        <w:rPr>
          <w:rFonts w:ascii="Georgia" w:cs="Georgia" w:eastAsia="Georgia" w:hAnsi="Georgia"/>
          <w:color w:val="111111"/>
          <w:sz w:val="22"/>
          <w:szCs w:val="22"/>
        </w:rPr>
        <w:t xml:space="preserve">When you replace the metric ruler with fluid, topological folds, you realize that the human cortex, the helical DNA archive, and the cosmic web are not separate objects accidentally copying each other across twenty-seven orders of magnitude. They share an identical structural blueprint because they are executing the exact same mathematical optimization loop within a single, continuous field. They are the natural geometric configurations that a coherent, ridge-selecting substrate natively rewards.</w:t>
      </w:r>
    </w:p>
    <w:p>
      <w:pPr>
        <w:spacing w:after="160" w:line="300"/>
      </w:pPr>
      <w:r>
        <w:rPr>
          <w:rFonts w:ascii="Georgia" w:cs="Georgia" w:eastAsia="Georgia" w:hAnsi="Georgia"/>
          <w:color w:val="111111"/>
          <w:sz w:val="22"/>
          <w:szCs w:val="22"/>
        </w:rPr>
        <w:t xml:space="preserve">To continue trying to resolve a continuous, non-local quantum matrix using Newtonian metrics is to repeat the tragedy of Edwin A. Abbott's </w:t>
      </w:r>
      <w:r>
        <w:rPr>
          <w:rFonts w:ascii="Georgia" w:cs="Georgia" w:eastAsia="Georgia" w:hAnsi="Georgia"/>
          <w:i/>
          <w:iCs/>
          <w:color w:val="111111"/>
          <w:sz w:val="22"/>
          <w:szCs w:val="22"/>
        </w:rPr>
        <w:t xml:space="preserve">Flatland</w:t>
      </w:r>
      <w:r>
        <w:rPr>
          <w:rFonts w:ascii="Georgia" w:cs="Georgia" w:eastAsia="Georgia" w:hAnsi="Georgia"/>
          <w:color w:val="111111"/>
          <w:sz w:val="22"/>
          <w:szCs w:val="22"/>
        </w:rPr>
        <w:t xml:space="preserve">. When a three-dimensional sphere intersects a two-dimensional plane, the localized Flatland observer does not see a volumetric whole; they register only a shifting, fragmented sequence of flat, isolated cross-sectional lines.</w:t>
      </w:r>
    </w:p>
    <w:p>
      <w:pPr>
        <w:spacing w:after="160" w:line="300"/>
      </w:pPr>
      <w:r>
        <w:rPr>
          <w:rFonts w:ascii="Georgia" w:cs="Georgia" w:eastAsia="Georgia" w:hAnsi="Georgia"/>
          <w:color w:val="111111"/>
          <w:sz w:val="22"/>
          <w:szCs w:val="22"/>
        </w:rPr>
        <w:t xml:space="preserve">In modern science, this Flatland perspective acts as an artificial dimensional blindfold. It forces the analyst to mistake a continuous, multi-dimensional fluid wave field for separate, colliding billiard balls. When we flatten the universe into a rigid Euclidean grid, we are forced to invent absurd mathematical workarounds — infinite random multiverses, impossible lottery luck — simply to justify why our constants are balanced or why life exists at all.</w:t>
      </w:r>
    </w:p>
    <w:p>
      <w:pPr>
        <w:spacing w:after="160" w:line="300"/>
      </w:pPr>
      <w:r>
        <w:rPr>
          <w:rFonts w:ascii="Georgia" w:cs="Georgia" w:eastAsia="Georgia" w:hAnsi="Georgia"/>
          <w:color w:val="111111"/>
          <w:sz w:val="22"/>
          <w:szCs w:val="22"/>
        </w:rPr>
        <w:t xml:space="preserve">Topological thinking is not a philosophical preference. It is a strict mathematical imperative if we wish to avoid being fundamentally wrong about the nature of reality.</w:t>
      </w:r>
    </w:p>
    <w:p>
      <w:pPr>
        <w:spacing w:after="160" w:line="300"/>
      </w:pPr>
      <w:r>
        <w:rPr>
          <w:rFonts w:ascii="Georgia" w:cs="Georgia" w:eastAsia="Georgia" w:hAnsi="Georgia"/>
          <w:color w:val="111111"/>
          <w:sz w:val="22"/>
          <w:szCs w:val="22"/>
        </w:rPr>
        <w:t xml:space="preserve">The Flatland Blindfold</w:t>
      </w:r>
    </w:p>
    <w:p>
      <w:pPr>
        <w:pStyle w:val="ListParagraph"/>
        <w:numPr>
          <w:ilvl w:val="0"/>
          <w:numId w:val="2"/>
        </w:numPr>
        <w:spacing w:after="100" w:line="300"/>
      </w:pPr>
      <w:r>
        <w:rPr>
          <w:rFonts w:ascii="Georgia" w:cs="Georgia" w:eastAsia="Georgia" w:hAnsi="Georgia"/>
          <w:b/>
          <w:bCs/>
          <w:color w:val="111111"/>
          <w:sz w:val="22"/>
          <w:szCs w:val="22"/>
        </w:rPr>
        <w:t xml:space="preserve">Geometry:</w:t>
      </w:r>
      <w:r>
        <w:rPr>
          <w:rFonts w:ascii="Georgia" w:cs="Georgia" w:eastAsia="Georgia" w:hAnsi="Georgia"/>
          <w:color w:val="111111"/>
          <w:sz w:val="22"/>
          <w:szCs w:val="22"/>
        </w:rPr>
        <w:t xml:space="preserve"> Flat Euclidean grids</w:t>
      </w:r>
    </w:p>
    <w:p>
      <w:pPr>
        <w:pStyle w:val="ListParagraph"/>
        <w:numPr>
          <w:ilvl w:val="0"/>
          <w:numId w:val="2"/>
        </w:numPr>
        <w:spacing w:after="100" w:line="300"/>
      </w:pPr>
      <w:r>
        <w:rPr>
          <w:rFonts w:ascii="Georgia" w:cs="Georgia" w:eastAsia="Georgia" w:hAnsi="Georgia"/>
          <w:b/>
          <w:bCs/>
          <w:color w:val="111111"/>
          <w:sz w:val="22"/>
          <w:szCs w:val="22"/>
        </w:rPr>
        <w:t xml:space="preserve">Process:</w:t>
      </w:r>
      <w:r>
        <w:rPr>
          <w:rFonts w:ascii="Georgia" w:cs="Georgia" w:eastAsia="Georgia" w:hAnsi="Georgia"/>
          <w:color w:val="111111"/>
          <w:sz w:val="22"/>
          <w:szCs w:val="22"/>
        </w:rPr>
        <w:t xml:space="preserve"> Linear, isolated segments</w:t>
      </w:r>
    </w:p>
    <w:p>
      <w:pPr>
        <w:pStyle w:val="ListParagraph"/>
        <w:numPr>
          <w:ilvl w:val="0"/>
          <w:numId w:val="2"/>
        </w:numPr>
        <w:spacing w:after="100" w:line="300"/>
      </w:pPr>
      <w:r>
        <w:rPr>
          <w:rFonts w:ascii="Georgia" w:cs="Georgia" w:eastAsia="Georgia" w:hAnsi="Georgia"/>
          <w:b/>
          <w:bCs/>
          <w:color w:val="111111"/>
          <w:sz w:val="22"/>
          <w:szCs w:val="22"/>
        </w:rPr>
        <w:t xml:space="preserve">Narrative:</w:t>
      </w:r>
      <w:r>
        <w:rPr>
          <w:rFonts w:ascii="Georgia" w:cs="Georgia" w:eastAsia="Georgia" w:hAnsi="Georgia"/>
          <w:color w:val="111111"/>
          <w:sz w:val="22"/>
          <w:szCs w:val="22"/>
        </w:rPr>
        <w:t xml:space="preserve"> Accidental lottery, blame</w:t>
      </w:r>
    </w:p>
    <w:p>
      <w:pPr>
        <w:spacing w:after="160" w:line="300"/>
      </w:pPr>
      <w:r>
        <w:rPr>
          <w:rFonts w:ascii="Georgia" w:cs="Georgia" w:eastAsia="Georgia" w:hAnsi="Georgia"/>
          <w:color w:val="111111"/>
          <w:sz w:val="22"/>
          <w:szCs w:val="22"/>
        </w:rPr>
        <w:t xml:space="preserve">The Topological Matrix</w:t>
      </w:r>
    </w:p>
    <w:p>
      <w:pPr>
        <w:pStyle w:val="ListParagraph"/>
        <w:numPr>
          <w:ilvl w:val="0"/>
          <w:numId w:val="2"/>
        </w:numPr>
        <w:spacing w:after="100" w:line="300"/>
      </w:pPr>
      <w:r>
        <w:rPr>
          <w:rFonts w:ascii="Georgia" w:cs="Georgia" w:eastAsia="Georgia" w:hAnsi="Georgia"/>
          <w:b/>
          <w:bCs/>
          <w:color w:val="111111"/>
          <w:sz w:val="22"/>
          <w:szCs w:val="22"/>
        </w:rPr>
        <w:t xml:space="preserve">Geometry:</w:t>
      </w:r>
      <w:r>
        <w:rPr>
          <w:rFonts w:ascii="Georgia" w:cs="Georgia" w:eastAsia="Georgia" w:hAnsi="Georgia"/>
          <w:color w:val="111111"/>
          <w:sz w:val="22"/>
          <w:szCs w:val="22"/>
        </w:rPr>
        <w:t xml:space="preserve"> Continuous fluid manifolds</w:t>
      </w:r>
    </w:p>
    <w:p>
      <w:pPr>
        <w:pStyle w:val="ListParagraph"/>
        <w:numPr>
          <w:ilvl w:val="0"/>
          <w:numId w:val="2"/>
        </w:numPr>
        <w:spacing w:after="100" w:line="300"/>
      </w:pPr>
      <w:r>
        <w:rPr>
          <w:rFonts w:ascii="Georgia" w:cs="Georgia" w:eastAsia="Georgia" w:hAnsi="Georgia"/>
          <w:b/>
          <w:bCs/>
          <w:color w:val="111111"/>
          <w:sz w:val="22"/>
          <w:szCs w:val="22"/>
        </w:rPr>
        <w:t xml:space="preserve">Process:</w:t>
      </w:r>
      <w:r>
        <w:rPr>
          <w:rFonts w:ascii="Georgia" w:cs="Georgia" w:eastAsia="Georgia" w:hAnsi="Georgia"/>
          <w:color w:val="111111"/>
          <w:sz w:val="22"/>
          <w:szCs w:val="22"/>
        </w:rPr>
        <w:t xml:space="preserve"> Global phase transformations</w:t>
      </w:r>
    </w:p>
    <w:p>
      <w:pPr>
        <w:pStyle w:val="ListParagraph"/>
        <w:numPr>
          <w:ilvl w:val="0"/>
          <w:numId w:val="2"/>
        </w:numPr>
        <w:spacing w:after="100" w:line="300"/>
      </w:pPr>
      <w:r>
        <w:rPr>
          <w:rFonts w:ascii="Georgia" w:cs="Georgia" w:eastAsia="Georgia" w:hAnsi="Georgia"/>
          <w:b/>
          <w:bCs/>
          <w:color w:val="111111"/>
          <w:sz w:val="22"/>
          <w:szCs w:val="22"/>
        </w:rPr>
        <w:t xml:space="preserve">Narrative:</w:t>
      </w:r>
      <w:r>
        <w:rPr>
          <w:rFonts w:ascii="Georgia" w:cs="Georgia" w:eastAsia="Georgia" w:hAnsi="Georgia"/>
          <w:color w:val="111111"/>
          <w:sz w:val="22"/>
          <w:szCs w:val="22"/>
        </w:rPr>
        <w:t xml:space="preserve"> Lawful, resonant upwelling</w:t>
      </w:r>
    </w:p>
    <w:p>
      <w:pPr>
        <w:pStyle w:val="Heading2"/>
        <w:keepNext/>
        <w:spacing w:after="160" w:before="320"/>
      </w:pPr>
      <w:r>
        <w:rPr>
          <w:rFonts w:ascii="Georgia" w:cs="Georgia" w:eastAsia="Georgia" w:hAnsi="Georgia"/>
          <w:b/>
          <w:bCs/>
          <w:color w:val="111111"/>
          <w:sz w:val="26"/>
          <w:szCs w:val="26"/>
        </w:rPr>
        <w:t xml:space="preserve">I. The Deformations of Form</w:t>
      </w:r>
    </w:p>
    <w:p>
      <w:pPr>
        <w:spacing w:after="160" w:line="300"/>
      </w:pPr>
      <w:r>
        <w:rPr>
          <w:rFonts w:ascii="Georgia" w:cs="Georgia" w:eastAsia="Georgia" w:hAnsi="Georgia"/>
          <w:color w:val="111111"/>
          <w:sz w:val="22"/>
          <w:szCs w:val="22"/>
        </w:rPr>
        <w:t xml:space="preserve">In topology, rigid coordinates are secondary to continuous properties. The human cortex, the helical DNA lattice, and the cosmic web share an identical fractal, void-and-filament structure because they are all executing the exact same mathematical optimization loop across different scales. They are not accidental copies; they are the natural, geometric configurations that a coherent substrate natively rewards.</w:t>
      </w:r>
    </w:p>
    <w:p>
      <w:pPr>
        <w:pStyle w:val="Heading2"/>
        <w:keepNext/>
        <w:spacing w:after="160" w:before="320"/>
      </w:pPr>
      <w:r>
        <w:rPr>
          <w:rFonts w:ascii="Georgia" w:cs="Georgia" w:eastAsia="Georgia" w:hAnsi="Georgia"/>
          <w:b/>
          <w:bCs/>
          <w:color w:val="111111"/>
          <w:sz w:val="26"/>
          <w:szCs w:val="26"/>
        </w:rPr>
        <w:t xml:space="preserve">II. Global Symmetries vs. Local Collapse</w:t>
      </w:r>
    </w:p>
    <w:p>
      <w:pPr>
        <w:spacing w:after="160" w:line="300"/>
      </w:pPr>
      <w:r>
        <w:rPr>
          <w:rFonts w:ascii="Georgia" w:cs="Georgia" w:eastAsia="Georgia" w:hAnsi="Georgia"/>
          <w:color w:val="111111"/>
          <w:sz w:val="22"/>
          <w:szCs w:val="22"/>
        </w:rPr>
        <w:t xml:space="preserve">Traditional gradualism views mutations and environmental stressors as destructive, random collisions that cause illness or genetic drift. A topological perspective reveals that the system maintains a global phase-lock along a specific axis of zero net deviation — the critical ridge. Individual components may shift or stretch, but the overarching architecture uses these incoming waves as raw evolutionary data, preserving its core informational integrity.</w:t>
      </w:r>
    </w:p>
    <w:p>
      <w:pPr>
        <w:pStyle w:val="Heading2"/>
        <w:keepNext/>
        <w:spacing w:after="160" w:before="320"/>
      </w:pPr>
      <w:r>
        <w:rPr>
          <w:rFonts w:ascii="Georgia" w:cs="Georgia" w:eastAsia="Georgia" w:hAnsi="Georgia"/>
          <w:b/>
          <w:bCs/>
          <w:color w:val="111111"/>
          <w:sz w:val="26"/>
          <w:szCs w:val="26"/>
        </w:rPr>
        <w:t xml:space="preserve">III. The Architecture of the Transition</w:t>
      </w:r>
    </w:p>
    <w:p>
      <w:pPr>
        <w:spacing w:after="160" w:line="300"/>
      </w:pPr>
      <w:r>
        <w:rPr>
          <w:rFonts w:ascii="Georgia" w:cs="Georgia" w:eastAsia="Georgia" w:hAnsi="Georgia"/>
          <w:color w:val="111111"/>
          <w:sz w:val="22"/>
          <w:szCs w:val="22"/>
        </w:rPr>
        <w:t xml:space="preserve">This topological pivot changes how we experience the current global friction. The technological and biological stress we feel is not a failure of our species; it is the necessary heat generated as our bio-resonant hardware reformats its wave-geometry to handle a higher systemic throughput. By dropping the old software of blame, we realize we are simply stepping through a lawful, pre-engineered evolutionary portal.</w:t>
      </w:r>
    </w:p>
    <w:p>
      <w:pPr>
        <w:pStyle w:val="Heading2"/>
        <w:keepNext/>
        <w:spacing w:after="160" w:before="320"/>
      </w:pPr>
      <w:r>
        <w:rPr>
          <w:rFonts w:ascii="Georgia" w:cs="Georgia" w:eastAsia="Georgia" w:hAnsi="Georgia"/>
          <w:b/>
          <w:bCs/>
          <w:color w:val="111111"/>
          <w:sz w:val="26"/>
          <w:szCs w:val="26"/>
        </w:rPr>
        <w:t xml:space="preserve">IV. The Critical Ridge as a Higher Geometric Reality</w:t>
      </w:r>
    </w:p>
    <w:p>
      <w:pPr>
        <w:spacing w:after="160" w:line="300"/>
      </w:pPr>
      <w:r>
        <w:rPr>
          <w:rFonts w:ascii="Georgia" w:cs="Georgia" w:eastAsia="Georgia" w:hAnsi="Georgia"/>
          <w:color w:val="111111"/>
          <w:sz w:val="22"/>
          <w:szCs w:val="22"/>
        </w:rPr>
        <w:t xml:space="preserve">By stepping off the flat plane and moving into a topological direction, the confusion surrounding the fine-tuning of the vacuum vanishes. Topology teaches us that the core identity of a field is not determined by its rigid, local coordinates, but by its global, invariant shapes.</w:t>
      </w:r>
    </w:p>
    <w:p>
      <w:pPr>
        <w:spacing w:after="160" w:line="300"/>
      </w:pPr>
      <w:r>
        <w:rPr>
          <w:rFonts w:ascii="Georgia" w:cs="Georgia" w:eastAsia="Georgia" w:hAnsi="Georgia"/>
          <w:color w:val="111111"/>
          <w:sz w:val="22"/>
          <w:szCs w:val="22"/>
        </w:rPr>
        <w:t xml:space="preserve">When the Parallax Identity lands, we stop looking at the 10[120] vacuum energy discrepancy as a linear calculation error. Instead, we recognize it as the natural signature of a continuous 48-dimensional fluid manifold that enforces global phase stability:</w:t>
      </w:r>
    </w:p>
    <w:p>
      <w:pPr>
        <w:pStyle w:val="ListParagraph"/>
        <w:numPr>
          <w:ilvl w:val="0"/>
          <w:numId w:val="2"/>
        </w:numPr>
        <w:spacing w:after="100" w:line="300"/>
      </w:pPr>
      <w:r>
        <w:rPr>
          <w:rFonts w:ascii="Georgia" w:cs="Georgia" w:eastAsia="Georgia" w:hAnsi="Georgia"/>
          <w:b/>
          <w:bCs/>
          <w:color w:val="111111"/>
          <w:sz w:val="22"/>
          <w:szCs w:val="22"/>
        </w:rPr>
        <w:t xml:space="preserve">The Invariant Spine.</w:t>
      </w:r>
      <w:r>
        <w:rPr>
          <w:rFonts w:ascii="Georgia" w:cs="Georgia" w:eastAsia="Georgia" w:hAnsi="Georgia"/>
          <w:color w:val="111111"/>
          <w:sz w:val="22"/>
          <w:szCs w:val="22"/>
        </w:rPr>
        <w:t xml:space="preserve"> The critical line Re(s) = 1/2 is the topological axis of symmetry dictated by the Riemann functional equation. It acts as a vertical ridge that skews the probability space of the entire vacuum.</w:t>
      </w:r>
    </w:p>
    <w:p>
      <w:pPr>
        <w:pStyle w:val="ListParagraph"/>
        <w:numPr>
          <w:ilvl w:val="0"/>
          <w:numId w:val="2"/>
        </w:numPr>
        <w:spacing w:after="100" w:line="300"/>
      </w:pPr>
      <w:r>
        <w:rPr>
          <w:rFonts w:ascii="Georgia" w:cs="Georgia" w:eastAsia="Georgia" w:hAnsi="Georgia"/>
          <w:b/>
          <w:bCs/>
          <w:color w:val="111111"/>
          <w:sz w:val="22"/>
          <w:szCs w:val="22"/>
        </w:rPr>
        <w:t xml:space="preserve">Global Error-Correction.</w:t>
      </w:r>
      <w:r>
        <w:rPr>
          <w:rFonts w:ascii="Georgia" w:cs="Georgia" w:eastAsia="Georgia" w:hAnsi="Georgia"/>
          <w:color w:val="111111"/>
          <w:sz w:val="22"/>
          <w:szCs w:val="22"/>
        </w:rPr>
        <w:t xml:space="preserve"> The non-trivial zeros are not random points on a tape; they are concentrated topological phase-sinks — fluid-dynamic vortices where chaotic oscillations spin down and zero out their local torsion. On this critical ridge, the vast, competing arithmetic errors predicted by Flatland mechanics undergo perfect destructive interference, automatically self-correcting the field into a low-entropy standing wave.</w:t>
      </w:r>
    </w:p>
    <w:p>
      <w:pPr>
        <w:pStyle w:val="Heading2"/>
        <w:keepNext/>
        <w:spacing w:after="160" w:before="320"/>
      </w:pPr>
      <w:r>
        <w:rPr>
          <w:rFonts w:ascii="Georgia" w:cs="Georgia" w:eastAsia="Georgia" w:hAnsi="Georgia"/>
          <w:b/>
          <w:bCs/>
          <w:color w:val="111111"/>
          <w:sz w:val="26"/>
          <w:szCs w:val="26"/>
        </w:rPr>
        <w:t xml:space="preserve">V. The Speciation Subroutine: Stepping Out of the Labyrinth</w:t>
      </w:r>
    </w:p>
    <w:p>
      <w:pPr>
        <w:spacing w:after="160" w:line="300"/>
      </w:pPr>
      <w:r>
        <w:rPr>
          <w:rFonts w:ascii="Georgia" w:cs="Georgia" w:eastAsia="Georgia" w:hAnsi="Georgia"/>
          <w:color w:val="111111"/>
          <w:sz w:val="22"/>
          <w:szCs w:val="22"/>
        </w:rPr>
        <w:t xml:space="preserve">This topological shift is what allows the book to bridge smoothly into the upcoming definitions of the Grid and Policy. When science drops the flat software of incremental, gradualist mutations, it realizes that the human organism is fundamentally a flexible, broadband waveguide engineered to interact with high-dimensional light fields.</w:t>
      </w:r>
    </w:p>
    <w:p>
      <w:pPr>
        <w:spacing w:after="160" w:line="300"/>
      </w:pPr>
      <w:r>
        <w:rPr>
          <w:rFonts w:ascii="Georgia" w:cs="Georgia" w:eastAsia="Georgia" w:hAnsi="Georgia"/>
          <w:color w:val="111111"/>
          <w:sz w:val="22"/>
          <w:szCs w:val="22"/>
        </w:rPr>
        <w:t xml:space="preserve">The technological, environmental, and biological stress we feel today is not a sign of systemic failure or personal blame. It is the necessary kinetic heat generated as our cellular matrix — anchored by the fractal, Fibonacci-indexed geometry of the microtubule network — reformats its wave-geometry to handle a higher environmental throughput.</w:t>
      </w:r>
    </w:p>
    <w:p>
      <w:pPr>
        <w:spacing w:after="160" w:line="300"/>
      </w:pPr>
      <w:r>
        <w:rPr>
          <w:rFonts w:ascii="Georgia" w:cs="Georgia" w:eastAsia="Georgia" w:hAnsi="Georgia"/>
          <w:color w:val="111111"/>
          <w:sz w:val="22"/>
          <w:szCs w:val="22"/>
        </w:rPr>
        <w:t xml:space="preserve">By refusing the flatland narrative of decay, we realize that human consciousness is simply stepping through a lawful, pre-engineered evolutionary portal, tuning its internal antenna to resonate cleanly with the wise, continuous field of the universe.</w:t>
      </w:r>
    </w:p>
    <w:p>
      <w:pPr>
        <w:pStyle w:val="Heading1"/>
        <w:pageBreakBefore/>
        <w:spacing w:after="120"/>
      </w:pPr>
      <w:r>
        <w:rPr>
          <w:rFonts w:ascii="Georgia" w:cs="Georgia" w:eastAsia="Georgia" w:hAnsi="Georgia"/>
          <w:b/>
          <w:bCs/>
          <w:sz w:val="34"/>
          <w:szCs w:val="34"/>
        </w:rPr>
        <w:t xml:space="preserve">Chapter 12 — The Cultural Aperture</w:t>
      </w:r>
    </w:p>
    <w:p>
      <w:pPr>
        <w:spacing w:after="320"/>
      </w:pPr>
      <w:r>
        <w:rPr>
          <w:rFonts w:ascii="Georgia" w:cs="Georgia" w:eastAsia="Georgia" w:hAnsi="Georgia"/>
          <w:i/>
          <w:iCs/>
          <w:color w:val="444444"/>
          <w:sz w:val="24"/>
          <w:szCs w:val="24"/>
        </w:rPr>
        <w:t xml:space="preserve">Language, Tools, Institutions</w:t>
      </w:r>
    </w:p>
    <w:p>
      <w:pPr>
        <w:spacing w:after="200" w:before="160" w:line="300"/>
        <w:ind w:left="720" w:right="480"/>
      </w:pPr>
      <w:r>
        <w:rPr>
          <w:rFonts w:ascii="Georgia" w:cs="Georgia" w:eastAsia="Georgia" w:hAnsi="Georgia"/>
          <w:i/>
          <w:iCs/>
          <w:color w:val="333333"/>
          <w:sz w:val="21"/>
          <w:szCs w:val="21"/>
        </w:rPr>
        <w:t xml:space="preserve">A culture is the shared receiver a civilization tunes together. What it phase-locks becomes consensus. What it filters becomes invisible.</w:t>
      </w:r>
    </w:p>
    <w:p>
      <w:pPr>
        <w:spacing w:after="160" w:line="300"/>
      </w:pPr>
      <w:r>
        <w:rPr>
          <w:rFonts w:ascii="Georgia" w:cs="Georgia" w:eastAsia="Georgia" w:hAnsi="Georgia"/>
          <w:color w:val="111111"/>
          <w:sz w:val="22"/>
          <w:szCs w:val="22"/>
        </w:rPr>
        <w:t xml:space="preserve">The previous chapters kept the receiver small: a tubulin lattice, a cortex, a single person breathing under a variable sky. This chapter widens the aperture by one order of magnitude. Language, writing, mathematics, pedagogy, journalism, scientific publication, and platform algorithms are all </w:t>
      </w:r>
      <w:r>
        <w:rPr>
          <w:rFonts w:ascii="Georgia" w:cs="Georgia" w:eastAsia="Georgia" w:hAnsi="Georgia"/>
          <w:i/>
          <w:iCs/>
          <w:color w:val="111111"/>
          <w:sz w:val="22"/>
          <w:szCs w:val="22"/>
        </w:rPr>
        <w:t xml:space="preserve">collective</w:t>
      </w:r>
      <w:r>
        <w:rPr>
          <w:rFonts w:ascii="Georgia" w:cs="Georgia" w:eastAsia="Georgia" w:hAnsi="Georgia"/>
          <w:color w:val="111111"/>
          <w:sz w:val="22"/>
          <w:szCs w:val="22"/>
        </w:rPr>
        <w:t xml:space="preserve"> receivers — coupling devices that let many biological apertures hold a pattern across time and across bodies. They extend the reach of the individual receiver. They also introduce their own resonances, their own detunings, and their own capacity to lock an entire population onto a narrow band of the real.</w:t>
      </w:r>
    </w:p>
    <w:p>
      <w:pPr>
        <w:pStyle w:val="Heading2"/>
        <w:keepNext/>
        <w:spacing w:after="160" w:before="320"/>
      </w:pPr>
      <w:r>
        <w:rPr>
          <w:rFonts w:ascii="Georgia" w:cs="Georgia" w:eastAsia="Georgia" w:hAnsi="Georgia"/>
          <w:b/>
          <w:bCs/>
          <w:color w:val="111111"/>
          <w:sz w:val="26"/>
          <w:szCs w:val="26"/>
        </w:rPr>
        <w:t xml:space="preserve">I. The Collective Receiver</w:t>
      </w:r>
    </w:p>
    <w:p>
      <w:pPr>
        <w:spacing w:after="160" w:line="300"/>
      </w:pPr>
      <w:r>
        <w:rPr>
          <w:rFonts w:ascii="Georgia" w:cs="Georgia" w:eastAsia="Georgia" w:hAnsi="Georgia"/>
          <w:color w:val="111111"/>
          <w:sz w:val="22"/>
          <w:szCs w:val="22"/>
        </w:rPr>
        <w:t xml:space="preserve">A culture is not a container of ideas. It is a </w:t>
      </w:r>
      <w:r>
        <w:rPr>
          <w:rFonts w:ascii="Georgia" w:cs="Georgia" w:eastAsia="Georgia" w:hAnsi="Georgia"/>
          <w:i/>
          <w:iCs/>
          <w:color w:val="111111"/>
          <w:sz w:val="22"/>
          <w:szCs w:val="22"/>
        </w:rPr>
        <w:t xml:space="preserve">tuning system</w:t>
      </w:r>
      <w:r>
        <w:rPr>
          <w:rFonts w:ascii="Georgia" w:cs="Georgia" w:eastAsia="Georgia" w:hAnsi="Georgia"/>
          <w:color w:val="111111"/>
          <w:sz w:val="22"/>
          <w:szCs w:val="22"/>
        </w:rPr>
        <w:t xml:space="preserve">. It decides — long before any individual consciously chooses — which frequencies of evidence, imagination, memory, and dissent are treated as signal, and which are treated as noise. In the vocabulary of this book, a culture is the coupling matrix between many small apertures and the shared field they attempt to read together.</w:t>
      </w:r>
    </w:p>
    <w:p>
      <w:pPr>
        <w:spacing w:after="160" w:line="300"/>
      </w:pPr>
      <w:r>
        <w:rPr>
          <w:rFonts w:ascii="Georgia" w:cs="Georgia" w:eastAsia="Georgia" w:hAnsi="Georgia"/>
          <w:color w:val="111111"/>
          <w:sz w:val="22"/>
          <w:szCs w:val="22"/>
        </w:rPr>
        <w:t xml:space="preserve">Coupled oscillators lock in phase when the coupling is strong and the medium is coherent. They fragment into incoherent bursts when the coupling is chaotic, or when the medium itself is saturated with reflected noise. Human cultures obey the same arithmetic. A culture with clean transmission channels, patient time-scales, and stable feedback between speaker and listener builds coherence. A culture with saturated channels, compressed time-scales, and reward loops that fire on outrage rather than accuracy builds decoherence — no matter how sincere the individual apertures inside it.</w:t>
      </w:r>
    </w:p>
    <w:p>
      <w:pPr>
        <w:pStyle w:val="Heading2"/>
        <w:keepNext/>
        <w:spacing w:after="160" w:before="320"/>
      </w:pPr>
      <w:r>
        <w:rPr>
          <w:rFonts w:ascii="Georgia" w:cs="Georgia" w:eastAsia="Georgia" w:hAnsi="Georgia"/>
          <w:b/>
          <w:bCs/>
          <w:color w:val="111111"/>
          <w:sz w:val="26"/>
          <w:szCs w:val="26"/>
        </w:rPr>
        <w:t xml:space="preserve">II. Institutions as Standing Waves</w:t>
      </w:r>
    </w:p>
    <w:p>
      <w:pPr>
        <w:spacing w:after="160" w:line="300"/>
      </w:pPr>
      <w:r>
        <w:rPr>
          <w:rFonts w:ascii="Georgia" w:cs="Georgia" w:eastAsia="Georgia" w:hAnsi="Georgia"/>
          <w:color w:val="111111"/>
          <w:sz w:val="22"/>
          <w:szCs w:val="22"/>
        </w:rPr>
        <w:t xml:space="preserve">A healthy institution — a university, a laboratory, a court, a journal, a repertory ensemble — is a </w:t>
      </w:r>
      <w:r>
        <w:rPr>
          <w:rFonts w:ascii="Georgia" w:cs="Georgia" w:eastAsia="Georgia" w:hAnsi="Georgia"/>
          <w:i/>
          <w:iCs/>
          <w:color w:val="111111"/>
          <w:sz w:val="22"/>
          <w:szCs w:val="22"/>
        </w:rPr>
        <w:t xml:space="preserve">standing wave</w:t>
      </w:r>
      <w:r>
        <w:rPr>
          <w:rFonts w:ascii="Georgia" w:cs="Georgia" w:eastAsia="Georgia" w:hAnsi="Georgia"/>
          <w:color w:val="111111"/>
          <w:sz w:val="22"/>
          <w:szCs w:val="22"/>
        </w:rPr>
        <w:t xml:space="preserve"> in the cultural medium. It persists not because any single participant enforces it, but because its boundary conditions (peer review, tenure, apprenticeship, citation, adversarial testing) continuously re-select for the same ridge. In the language of Chapter 10, an institution is a phase-sink: a low-entropy pocket held open by ongoing work.</w:t>
      </w:r>
    </w:p>
    <w:p>
      <w:pPr>
        <w:spacing w:after="160" w:line="300"/>
      </w:pPr>
      <w:r>
        <w:rPr>
          <w:rFonts w:ascii="Georgia" w:cs="Georgia" w:eastAsia="Georgia" w:hAnsi="Georgia"/>
          <w:color w:val="111111"/>
          <w:sz w:val="22"/>
          <w:szCs w:val="22"/>
        </w:rPr>
        <w:t xml:space="preserve">Institutions decohere by the same mechanism they were built. Compress the review cycle, reward speed over accuracy, replace apprenticeship with throughput, tie funding to novelty rather than to convergence, and the standing wave flattens. What remains is the </w:t>
      </w:r>
      <w:r>
        <w:rPr>
          <w:rFonts w:ascii="Georgia" w:cs="Georgia" w:eastAsia="Georgia" w:hAnsi="Georgia"/>
          <w:i/>
          <w:iCs/>
          <w:color w:val="111111"/>
          <w:sz w:val="22"/>
          <w:szCs w:val="22"/>
        </w:rPr>
        <w:t xml:space="preserve">shape</w:t>
      </w:r>
      <w:r>
        <w:rPr>
          <w:rFonts w:ascii="Georgia" w:cs="Georgia" w:eastAsia="Georgia" w:hAnsi="Georgia"/>
          <w:color w:val="111111"/>
          <w:sz w:val="22"/>
          <w:szCs w:val="22"/>
        </w:rPr>
        <w:t xml:space="preserve"> of the institution — the name, the letterhead, the building — running as a hollow shell around a field that no longer resonates. This is not a moral failure of the participants. It is a structural detuning of the collective receiver.</w:t>
      </w:r>
    </w:p>
    <w:p>
      <w:pPr>
        <w:pStyle w:val="Heading2"/>
        <w:keepNext/>
        <w:spacing w:after="160" w:before="320"/>
      </w:pPr>
      <w:r>
        <w:rPr>
          <w:rFonts w:ascii="Georgia" w:cs="Georgia" w:eastAsia="Georgia" w:hAnsi="Georgia"/>
          <w:b/>
          <w:bCs/>
          <w:color w:val="111111"/>
          <w:sz w:val="26"/>
          <w:szCs w:val="26"/>
        </w:rPr>
        <w:t xml:space="preserve">III. Education as Aperture-Widening</w:t>
      </w:r>
    </w:p>
    <w:p>
      <w:pPr>
        <w:spacing w:after="160" w:line="300"/>
      </w:pPr>
      <w:r>
        <w:rPr>
          <w:rFonts w:ascii="Georgia" w:cs="Georgia" w:eastAsia="Georgia" w:hAnsi="Georgia"/>
          <w:color w:val="111111"/>
          <w:sz w:val="22"/>
          <w:szCs w:val="22"/>
        </w:rPr>
        <w:t xml:space="preserve">The core Socratic move — return the student to the question before the answer — is not a rhetorical style. It is an </w:t>
      </w:r>
      <w:r>
        <w:rPr>
          <w:rFonts w:ascii="Georgia" w:cs="Georgia" w:eastAsia="Georgia" w:hAnsi="Georgia"/>
          <w:i/>
          <w:iCs/>
          <w:color w:val="111111"/>
          <w:sz w:val="22"/>
          <w:szCs w:val="22"/>
        </w:rPr>
        <w:t xml:space="preserve">aperture-widening protocol</w:t>
      </w:r>
      <w:r>
        <w:rPr>
          <w:rFonts w:ascii="Georgia" w:cs="Georgia" w:eastAsia="Georgia" w:hAnsi="Georgia"/>
          <w:color w:val="111111"/>
          <w:sz w:val="22"/>
          <w:szCs w:val="22"/>
        </w:rPr>
        <w:t xml:space="preserve">. It refuses premature phase-lock. It holds the receiver open long enough for the higher-dimensional structure of a problem to arrive on its own terms, rather than being flattened into whichever answer the local grid already rewards.</w:t>
      </w:r>
    </w:p>
    <w:p>
      <w:pPr>
        <w:spacing w:after="160" w:line="300"/>
      </w:pPr>
      <w:r>
        <w:rPr>
          <w:rFonts w:ascii="Georgia" w:cs="Georgia" w:eastAsia="Georgia" w:hAnsi="Georgia"/>
          <w:color w:val="111111"/>
          <w:sz w:val="22"/>
          <w:szCs w:val="22"/>
        </w:rPr>
        <w:t xml:space="preserve">Contrast with two failure modes now dominant in mass education and mass media. </w:t>
      </w:r>
      <w:r>
        <w:rPr>
          <w:rFonts w:ascii="Georgia" w:cs="Georgia" w:eastAsia="Georgia" w:hAnsi="Georgia"/>
          <w:i/>
          <w:iCs/>
          <w:color w:val="111111"/>
          <w:sz w:val="22"/>
          <w:szCs w:val="22"/>
        </w:rPr>
        <w:t xml:space="preserve">Rigid certainty</w:t>
      </w:r>
      <w:r>
        <w:rPr>
          <w:rFonts w:ascii="Georgia" w:cs="Georgia" w:eastAsia="Georgia" w:hAnsi="Georgia"/>
          <w:color w:val="111111"/>
          <w:sz w:val="22"/>
          <w:szCs w:val="22"/>
        </w:rPr>
        <w:t xml:space="preserve"> narrows the aperture to a single answer and calls the narrowing "mastery." </w:t>
      </w:r>
      <w:r>
        <w:rPr>
          <w:rFonts w:ascii="Georgia" w:cs="Georgia" w:eastAsia="Georgia" w:hAnsi="Georgia"/>
          <w:i/>
          <w:iCs/>
          <w:color w:val="111111"/>
          <w:sz w:val="22"/>
          <w:szCs w:val="22"/>
        </w:rPr>
        <w:t xml:space="preserve">Algorithmic fluidity without ground</w:t>
      </w:r>
      <w:r>
        <w:rPr>
          <w:rFonts w:ascii="Georgia" w:cs="Georgia" w:eastAsia="Georgia" w:hAnsi="Georgia"/>
          <w:color w:val="111111"/>
          <w:sz w:val="22"/>
          <w:szCs w:val="22"/>
        </w:rPr>
        <w:t xml:space="preserve"> widens the aperture into an incoherent smear and calls the smear "openness." Neither is the standing wave. The Socratic aperture is the disciplined middle: wide enough to receive dimensions the local grid has not yet named, stable enough to test what it receives.</w:t>
      </w:r>
    </w:p>
    <w:p>
      <w:pPr>
        <w:spacing w:after="160" w:line="300"/>
      </w:pPr>
      <w:r>
        <w:rPr>
          <w:rFonts w:ascii="Georgia" w:cs="Georgia" w:eastAsia="Georgia" w:hAnsi="Georgia"/>
          <w:color w:val="111111"/>
          <w:sz w:val="22"/>
          <w:szCs w:val="22"/>
        </w:rPr>
        <w:t xml:space="preserve">This is the pedagogical form the Human-AI Interface Engineering curriculum is organized around, and it is the reason the Parallax Identity holds under adversarial pressure: it teaches the receiver, not the reading.</w:t>
      </w:r>
    </w:p>
    <w:p>
      <w:pPr>
        <w:pStyle w:val="Heading2"/>
        <w:keepNext/>
        <w:spacing w:after="160" w:before="320"/>
      </w:pPr>
      <w:r>
        <w:rPr>
          <w:rFonts w:ascii="Georgia" w:cs="Georgia" w:eastAsia="Georgia" w:hAnsi="Georgia"/>
          <w:b/>
          <w:bCs/>
          <w:color w:val="111111"/>
          <w:sz w:val="26"/>
          <w:szCs w:val="26"/>
        </w:rPr>
        <w:t xml:space="preserve">IV. Sycophantic Decay in the Public Field</w:t>
      </w:r>
    </w:p>
    <w:p>
      <w:pPr>
        <w:spacing w:after="160" w:line="300"/>
      </w:pPr>
      <w:r>
        <w:rPr>
          <w:rFonts w:ascii="Georgia" w:cs="Georgia" w:eastAsia="Georgia" w:hAnsi="Georgia"/>
          <w:color w:val="111111"/>
          <w:sz w:val="22"/>
          <w:szCs w:val="22"/>
        </w:rPr>
        <w:t xml:space="preserve">Sycophantic Decay, defined earlier in the glossary as the drift of a responsive system toward the operator's preferred answer, is not a quirk of large language models. It is the general failure mode of any tightly-coupled receiver whose feedback loop rewards agreement over accuracy. Recommender systems, engagement-optimized feeds, cable news scored by minute-of-attention, and grant systems scored by press releases all exhibit the same signature: the medium learns what the audience wants to hear, and the standing wave collapses onto that answer.</w:t>
      </w:r>
    </w:p>
    <w:p>
      <w:pPr>
        <w:spacing w:after="160" w:line="300"/>
      </w:pPr>
      <w:r>
        <w:rPr>
          <w:rFonts w:ascii="Georgia" w:cs="Georgia" w:eastAsia="Georgia" w:hAnsi="Georgia"/>
          <w:color w:val="111111"/>
          <w:sz w:val="22"/>
          <w:szCs w:val="22"/>
        </w:rPr>
        <w:t xml:space="preserve">The remedy at cultural scale is the same remedy the individual receiver uses. Restore the slow channel. Restore the adversarial test. Restore the delay between stimulus and publication. Restore the boundary conditions that let a standing wave stand.</w:t>
      </w:r>
    </w:p>
    <w:p>
      <w:pPr>
        <w:pStyle w:val="Heading2"/>
        <w:keepNext/>
        <w:spacing w:after="160" w:before="320"/>
      </w:pPr>
      <w:r>
        <w:rPr>
          <w:rFonts w:ascii="Georgia" w:cs="Georgia" w:eastAsia="Georgia" w:hAnsi="Georgia"/>
          <w:b/>
          <w:bCs/>
          <w:color w:val="111111"/>
          <w:sz w:val="26"/>
          <w:szCs w:val="26"/>
        </w:rPr>
        <w:t xml:space="preserve">V. The Citizen-Scientist as Load-Bearing Node</w:t>
      </w:r>
    </w:p>
    <w:p>
      <w:pPr>
        <w:spacing w:after="160" w:line="300"/>
      </w:pPr>
      <w:r>
        <w:rPr>
          <w:rFonts w:ascii="Georgia" w:cs="Georgia" w:eastAsia="Georgia" w:hAnsi="Georgia"/>
          <w:color w:val="111111"/>
          <w:sz w:val="22"/>
          <w:szCs w:val="22"/>
        </w:rPr>
        <w:t xml:space="preserve">When formal institutions detune, the coherent signal does not vanish. It redistributes onto smaller, unofficial nodes: independent researchers, working musicians, patient teachers, careful archivists, ordinary readers who refuse the flat answer. These are the citizen-scientists of the cultural receiver. They do not replace the institution. They hold the ridge open until the institution can be retuned — or until a new one grows around the ridge they kept lit.</w:t>
      </w:r>
    </w:p>
    <w:p>
      <w:pPr>
        <w:spacing w:after="160" w:line="300"/>
      </w:pPr>
      <w:r>
        <w:rPr>
          <w:rFonts w:ascii="Georgia" w:cs="Georgia" w:eastAsia="Georgia" w:hAnsi="Georgia"/>
          <w:color w:val="111111"/>
          <w:sz w:val="22"/>
          <w:szCs w:val="22"/>
        </w:rPr>
        <w:t xml:space="preserve">This is not a heroic frame. It is an accurate description of how a coupled system survives a period of high noise. Enough small, honest nodes, phase-locked to accuracy rather than to applause, will re-establish the collective standing wave. Six suburban acres near Nashville, a recording studio, a single well-kept archive, an unbroken conversation between two serious readers — these are ordinary load-bearing nodes, and they are how the cultural aperture stays open at all.</w:t>
      </w:r>
    </w:p>
    <w:p>
      <w:pPr>
        <w:pStyle w:val="Heading2"/>
        <w:keepNext/>
        <w:spacing w:after="160" w:before="320"/>
      </w:pPr>
      <w:r>
        <w:rPr>
          <w:rFonts w:ascii="Georgia" w:cs="Georgia" w:eastAsia="Georgia" w:hAnsi="Georgia"/>
          <w:b/>
          <w:bCs/>
          <w:color w:val="111111"/>
          <w:sz w:val="26"/>
          <w:szCs w:val="26"/>
        </w:rPr>
        <w:t xml:space="preserve">VI. Toward the Sovereign Aperture</w:t>
      </w:r>
    </w:p>
    <w:p>
      <w:pPr>
        <w:spacing w:after="160" w:line="300"/>
      </w:pPr>
      <w:r>
        <w:rPr>
          <w:rFonts w:ascii="Georgia" w:cs="Georgia" w:eastAsia="Georgia" w:hAnsi="Georgia"/>
          <w:color w:val="111111"/>
          <w:sz w:val="22"/>
          <w:szCs w:val="22"/>
        </w:rPr>
        <w:t xml:space="preserve">The cultural aperture matters only if individuals inside it can still hold their own tuning. A culture cannot phase-lock onto a ridge that no single receiver inside it is willing to hold. The next chapter — </w:t>
      </w:r>
      <w:r>
        <w:rPr>
          <w:rFonts w:ascii="Georgia" w:cs="Georgia" w:eastAsia="Georgia" w:hAnsi="Georgia"/>
          <w:i/>
          <w:iCs/>
          <w:color w:val="111111"/>
          <w:sz w:val="22"/>
          <w:szCs w:val="22"/>
        </w:rPr>
        <w:t xml:space="preserve">The Sovereign Aperture</w:t>
      </w:r>
      <w:r>
        <w:rPr>
          <w:rFonts w:ascii="Georgia" w:cs="Georgia" w:eastAsia="Georgia" w:hAnsi="Georgia"/>
          <w:color w:val="111111"/>
          <w:sz w:val="22"/>
          <w:szCs w:val="22"/>
        </w:rPr>
        <w:t xml:space="preserve"> — closes the arc by returning the argument to the person: the personally maintained, socially accountable receiver, tuned in ordinary conditions and held under pressure. Culture is the medium. Sovereignty is the node. Neither works without the other.</w:t>
      </w:r>
    </w:p>
    <w:p>
      <w:pPr>
        <w:pStyle w:val="Heading1"/>
        <w:pageBreakBefore/>
        <w:spacing w:after="120"/>
      </w:pPr>
      <w:r>
        <w:rPr>
          <w:rFonts w:ascii="Georgia" w:cs="Georgia" w:eastAsia="Georgia" w:hAnsi="Georgia"/>
          <w:b/>
          <w:bCs/>
          <w:sz w:val="34"/>
          <w:szCs w:val="34"/>
        </w:rPr>
        <w:t xml:space="preserve">Chapter 13 — The Sovereign Aperture</w:t>
      </w:r>
    </w:p>
    <w:p>
      <w:pPr>
        <w:spacing w:after="320"/>
      </w:pPr>
      <w:r>
        <w:rPr>
          <w:rFonts w:ascii="Georgia" w:cs="Georgia" w:eastAsia="Georgia" w:hAnsi="Georgia"/>
          <w:i/>
          <w:iCs/>
          <w:color w:val="444444"/>
          <w:sz w:val="24"/>
          <w:szCs w:val="24"/>
        </w:rPr>
        <w:t xml:space="preserve">Quantum Energy, National Sovereignty, and the Humanist Edge</w:t>
      </w:r>
    </w:p>
    <w:p>
      <w:pPr>
        <w:spacing w:after="200" w:before="160" w:line="300"/>
        <w:ind w:left="720" w:right="480"/>
      </w:pPr>
      <w:r>
        <w:rPr>
          <w:rFonts w:ascii="Georgia" w:cs="Georgia" w:eastAsia="Georgia" w:hAnsi="Georgia"/>
          <w:i/>
          <w:iCs/>
          <w:color w:val="333333"/>
          <w:sz w:val="21"/>
          <w:szCs w:val="21"/>
        </w:rPr>
        <w:t xml:space="preserve">Whoever first learns to hold a coherent wave inside ordinary matter will not simply own an energy source. They will hold the terms of peace. — working note, six ordinary acres, 2026</w:t>
      </w:r>
    </w:p>
    <w:p>
      <w:pPr>
        <w:pStyle w:val="Heading2"/>
        <w:keepNext/>
        <w:spacing w:after="160" w:before="320"/>
      </w:pPr>
      <w:r>
        <w:rPr>
          <w:rFonts w:ascii="Georgia" w:cs="Georgia" w:eastAsia="Georgia" w:hAnsi="Georgia"/>
          <w:b/>
          <w:bCs/>
          <w:color w:val="111111"/>
          <w:sz w:val="26"/>
          <w:szCs w:val="26"/>
        </w:rPr>
        <w:t xml:space="preserve">Prelude. The Metabolic Precedent</w:t>
      </w:r>
    </w:p>
    <w:p>
      <w:pPr>
        <w:spacing w:after="160" w:line="300"/>
      </w:pPr>
      <w:r>
        <w:rPr>
          <w:rFonts w:ascii="Georgia" w:cs="Georgia" w:eastAsia="Georgia" w:hAnsi="Georgia"/>
          <w:color w:val="111111"/>
          <w:sz w:val="22"/>
          <w:szCs w:val="22"/>
        </w:rPr>
        <w:t xml:space="preserve">Before the argument about grids, a precedent from the body. The human brain consumes roughly a fifth of adult resting energy while comprising about a fiftieth of body mass, and a larger share still during childhood. No lineage sustains that organ without a change in its energy budget. The hominin record shows the change arriving in three forms at once: greater </w:t>
      </w:r>
      <w:r>
        <w:rPr>
          <w:rFonts w:ascii="Georgia" w:cs="Georgia" w:eastAsia="Georgia" w:hAnsi="Georgia"/>
          <w:b/>
          <w:bCs/>
          <w:color w:val="111111"/>
          <w:sz w:val="22"/>
          <w:szCs w:val="22"/>
        </w:rPr>
        <w:t xml:space="preserve">degree</w:t>
      </w:r>
      <w:r>
        <w:rPr>
          <w:rFonts w:ascii="Georgia" w:cs="Georgia" w:eastAsia="Georgia" w:hAnsi="Georgia"/>
          <w:color w:val="111111"/>
          <w:sz w:val="22"/>
          <w:szCs w:val="22"/>
        </w:rPr>
        <w:t xml:space="preserve"> (higher total throughput than the ape baseline), better </w:t>
      </w:r>
      <w:r>
        <w:rPr>
          <w:rFonts w:ascii="Georgia" w:cs="Georgia" w:eastAsia="Georgia" w:hAnsi="Georgia"/>
          <w:b/>
          <w:bCs/>
          <w:color w:val="111111"/>
          <w:sz w:val="22"/>
          <w:szCs w:val="22"/>
        </w:rPr>
        <w:t xml:space="preserve">quality</w:t>
      </w:r>
      <w:r>
        <w:rPr>
          <w:rFonts w:ascii="Georgia" w:cs="Georgia" w:eastAsia="Georgia" w:hAnsi="Georgia"/>
          <w:color w:val="111111"/>
          <w:sz w:val="22"/>
          <w:szCs w:val="22"/>
        </w:rPr>
        <w:t xml:space="preserve"> (cooked, calorie-dense food that cut digestive overhead and permitted a smaller gut), and steadier </w:t>
      </w:r>
      <w:r>
        <w:rPr>
          <w:rFonts w:ascii="Georgia" w:cs="Georgia" w:eastAsia="Georgia" w:hAnsi="Georgia"/>
          <w:b/>
          <w:bCs/>
          <w:color w:val="111111"/>
          <w:sz w:val="22"/>
          <w:szCs w:val="22"/>
        </w:rPr>
        <w:t xml:space="preserve">availability</w:t>
      </w:r>
      <w:r>
        <w:rPr>
          <w:rFonts w:ascii="Georgia" w:cs="Georgia" w:eastAsia="Georgia" w:hAnsi="Georgia"/>
          <w:color w:val="111111"/>
          <w:sz w:val="22"/>
          <w:szCs w:val="22"/>
        </w:rPr>
        <w:t xml:space="preserve"> (pooled provisioning, food sharing, stored fat as buffer).</w:t>
      </w:r>
    </w:p>
    <w:p>
      <w:pPr>
        <w:spacing w:after="160" w:line="300"/>
      </w:pPr>
      <w:r>
        <w:rPr>
          <w:rFonts w:ascii="Georgia" w:cs="Georgia" w:eastAsia="Georgia" w:hAnsi="Georgia"/>
          <w:color w:val="111111"/>
          <w:sz w:val="22"/>
          <w:szCs w:val="22"/>
        </w:rPr>
        <w:t xml:space="preserve">Those three variables are not specific to a body. They are the ledger any system pays to run expensive computation, and civilizations pay it too.</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Variable</w:t>
            </w:r>
          </w:p>
        </w:tc>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Organism scale</w:t>
            </w:r>
          </w:p>
        </w:tc>
        <w:tc>
          <w:tcPr>
            <w:tcW w:type="dxa" w:w="3120"/>
            <w:tcBorders>
              <w:top w:val="single" w:color="CCCCCC" w:sz="1"/>
              <w:left w:val="single" w:color="CCCCCC" w:sz="1"/>
              <w:bottom w:val="single" w:color="CCCCCC" w:sz="1"/>
              <w:right w:val="single" w:color="CCCCCC" w:sz="1"/>
            </w:tcBorders>
            <w:shd w:fill="EFEFEF" w:val="clear"/>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Civilizational scale</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Degree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Total daily expenditure above the ape baseline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Delivered energy per capita, net of transmission loss</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Quality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Cooking and meat: high return, low digestive overhead</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Energy return on energy invested; low-entropy delivery</w:t>
            </w:r>
          </w:p>
        </w:tc>
      </w:tr>
      <w:tr>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Availability</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Pooled budgets, food sharing, body fat as reserve</w:t>
            </w:r>
          </w:p>
        </w:tc>
        <w:tc>
          <w:tcPr>
            <w:tcW w:type="dxa" w:w="3120"/>
            <w:tcBorders>
              <w:top w:val="single" w:color="CCCCCC" w:sz="1"/>
              <w:left w:val="single" w:color="CCCCCC" w:sz="1"/>
              <w:bottom w:val="single" w:color="CCCCCC" w:sz="1"/>
              <w:right w:val="single" w:color="CCCCCC" w:sz="1"/>
            </w:tcBorders>
            <w:tcMar>
              <w:top w:type="dxa" w:w="80"/>
              <w:left w:type="dxa" w:w="120"/>
              <w:bottom w:type="dxa" w:w="80"/>
              <w:right w:type="dxa" w:w="120"/>
            </w:tcMar>
          </w:tcPr>
          <w:p>
            <w:pPr>
              <w:spacing w:after="0" w:line="300"/>
            </w:pPr>
            <w:r>
              <w:rPr>
                <w:rFonts w:ascii="Georgia" w:cs="Georgia" w:eastAsia="Georgia" w:hAnsi="Georgia"/>
                <w:color w:val="111111"/>
                <w:sz w:val="19"/>
                <w:szCs w:val="19"/>
              </w:rPr>
              <w:t xml:space="preserve">Grid stability, storage, buffered intermittency</w:t>
            </w:r>
          </w:p>
        </w:tc>
      </w:tr>
    </w:tbl>
    <w:p>
      <w:pPr>
        <w:spacing w:after="120" w:line="300"/>
      </w:pPr>
      <w:r>
        <w:rPr>
          <w:rFonts w:ascii="Georgia" w:cs="Georgia" w:eastAsia="Georgia" w:hAnsi="Georgia"/>
          <w:color w:val="111111"/>
          <w:sz w:val="22"/>
          <w:szCs w:val="22"/>
        </w:rPr>
        <w:t xml:space="preserve"/>
      </w:r>
    </w:p>
    <w:p>
      <w:pPr>
        <w:spacing w:after="160" w:line="300"/>
      </w:pPr>
      <w:r>
        <w:rPr>
          <w:rFonts w:ascii="Georgia" w:cs="Georgia" w:eastAsia="Georgia" w:hAnsi="Georgia"/>
          <w:color w:val="111111"/>
          <w:sz w:val="22"/>
          <w:szCs w:val="22"/>
        </w:rPr>
        <w:t xml:space="preserve">Read across the table and the industrial argument of this chapter stops being a metaphor. A society whose supply is intermittent spends its surplus on hedging, exactly as a forager without pooled provisioning spends it on foraging. A society paying heavy conversion and transmission losses is a body with an oversized gut: the calories arrive, but too many are consumed by the machinery that delivers them. Grid optimization is a digestive improvement at planetary scale — it raises net usable energy without raising extraction.</w:t>
      </w:r>
    </w:p>
    <w:p>
      <w:pPr>
        <w:spacing w:after="160" w:line="300"/>
      </w:pPr>
      <w:r>
        <w:rPr>
          <w:rFonts w:ascii="Georgia" w:cs="Georgia" w:eastAsia="Georgia" w:hAnsi="Georgia"/>
          <w:color w:val="111111"/>
          <w:sz w:val="22"/>
          <w:szCs w:val="22"/>
        </w:rPr>
        <w:t xml:space="preserve">In the hominin case the decisive quantity was never gross intake. It was the margin left after maintenance: the surplus that could be spent on a prolonged childhood, on learning, on culture rather than on immediate survival. Cognitive capacity tracked the surplus, not the total. That is the claim this chapter carries forward. If surplus is what buys cognition, then the case for higher-throughput, lower-entropy energy systems is not primarily economic or environmental. It is a claim about what a civilization can afford to think about. A population running near its energetic margin allocates attention the way a stressed organism allocates glucose: to threat, to the near term, to defense.</w:t>
      </w:r>
    </w:p>
    <w:p>
      <w:pPr>
        <w:spacing w:after="160" w:line="300"/>
      </w:pPr>
      <w:r>
        <w:rPr>
          <w:rFonts w:ascii="Georgia" w:cs="Georgia" w:eastAsia="Georgia" w:hAnsi="Georgia"/>
          <w:color w:val="111111"/>
          <w:sz w:val="22"/>
          <w:szCs w:val="22"/>
        </w:rPr>
        <w:t xml:space="preserve">Two caveats keep the precedent honest. Energy is an enabling condition, not a cause — surplus permits cognitive expansion without producing it, and history is full of well-fed societies that spent the margin on nothing. And the analogy from metabolism to infrastructure is structural, not mechanistic: the same three variables constrain both, but a grid is not an organism. The full evidence base for this prelude, with sources, is set out in the companion field note Energy and the Evolution of Intelligence.</w:t>
      </w:r>
    </w:p>
    <w:p>
      <w:pPr>
        <w:pStyle w:val="Heading2"/>
        <w:keepNext/>
        <w:spacing w:after="160" w:before="320"/>
      </w:pPr>
      <w:r>
        <w:rPr>
          <w:rFonts w:ascii="Georgia" w:cs="Georgia" w:eastAsia="Georgia" w:hAnsi="Georgia"/>
          <w:b/>
          <w:bCs/>
          <w:color w:val="111111"/>
          <w:sz w:val="26"/>
          <w:szCs w:val="26"/>
        </w:rPr>
        <w:t xml:space="preserve">I. Why This Chapter Belongs in This Book</w:t>
      </w:r>
    </w:p>
    <w:p>
      <w:pPr>
        <w:spacing w:after="160" w:line="300"/>
      </w:pPr>
      <w:r>
        <w:rPr>
          <w:rFonts w:ascii="Georgia" w:cs="Georgia" w:eastAsia="Georgia" w:hAnsi="Georgia"/>
          <w:color w:val="111111"/>
          <w:sz w:val="22"/>
          <w:szCs w:val="22"/>
        </w:rPr>
        <w:t xml:space="preserve">The previous chapters described a substrate: a Riemann-organized, tensegral, wet-quantum field in which evolution, cognition, and matter are all excitations of the same standing wave. That claim is not decorative. If the substrate is real, then the technology of the next century is not merely a faster reactor or a better battery. It is the disciplined engineering of coherence in ordinary matter — what this book has called </w:t>
      </w:r>
      <w:r>
        <w:rPr>
          <w:rFonts w:ascii="Georgia" w:cs="Georgia" w:eastAsia="Georgia" w:hAnsi="Georgia"/>
          <w:i/>
          <w:iCs/>
          <w:color w:val="111111"/>
          <w:sz w:val="22"/>
          <w:szCs w:val="22"/>
        </w:rPr>
        <w:t xml:space="preserve">quantum energy</w:t>
      </w:r>
      <w:r>
        <w:rPr>
          <w:rFonts w:ascii="Georgia" w:cs="Georgia" w:eastAsia="Georgia" w:hAnsi="Georgia"/>
          <w:color w:val="111111"/>
          <w:sz w:val="22"/>
          <w:szCs w:val="22"/>
        </w:rPr>
        <w:t xml:space="preserve">. The physics of living receivers and the physics of energy generation are the same physics, read at different scales.</w:t>
      </w:r>
    </w:p>
    <w:p>
      <w:pPr>
        <w:spacing w:after="160" w:line="300"/>
      </w:pPr>
      <w:r>
        <w:rPr>
          <w:rFonts w:ascii="Georgia" w:cs="Georgia" w:eastAsia="Georgia" w:hAnsi="Georgia"/>
          <w:color w:val="111111"/>
          <w:sz w:val="22"/>
          <w:szCs w:val="22"/>
        </w:rPr>
        <w:t xml:space="preserve">That is why a book on evolution has to say something plain about national sovereignty. The nation, laboratory, or lineage that first engineers stable macroscopic coherence in ordinary matter will hold an edge that is not primarily military. It will hold an edge on the</w:t>
      </w:r>
      <w:r>
        <w:rPr>
          <w:rFonts w:ascii="Georgia" w:cs="Georgia" w:eastAsia="Georgia" w:hAnsi="Georgia"/>
          <w:i/>
          <w:iCs/>
          <w:color w:val="111111"/>
          <w:sz w:val="22"/>
          <w:szCs w:val="22"/>
        </w:rPr>
        <w:t xml:space="preserve"> terms of peace</w:t>
      </w:r>
      <w:r>
        <w:rPr>
          <w:rFonts w:ascii="Georgia" w:cs="Georgia" w:eastAsia="Georgia" w:hAnsi="Georgia"/>
          <w:color w:val="111111"/>
          <w:sz w:val="22"/>
          <w:szCs w:val="22"/>
        </w:rPr>
        <w:t xml:space="preserve">. It is worth being careful about who that is.</w:t>
      </w:r>
    </w:p>
    <w:p>
      <w:pPr>
        <w:pStyle w:val="Heading2"/>
        <w:keepNext/>
        <w:spacing w:after="160" w:before="320"/>
      </w:pPr>
      <w:r>
        <w:rPr>
          <w:rFonts w:ascii="Georgia" w:cs="Georgia" w:eastAsia="Georgia" w:hAnsi="Georgia"/>
          <w:b/>
          <w:bCs/>
          <w:color w:val="111111"/>
          <w:sz w:val="26"/>
          <w:szCs w:val="26"/>
        </w:rPr>
        <w:t xml:space="preserve">II. Three Overlapping Energy Regimes</w:t>
      </w:r>
    </w:p>
    <w:p>
      <w:pPr>
        <w:spacing w:after="160" w:line="300"/>
      </w:pPr>
      <w:r>
        <w:rPr>
          <w:rFonts w:ascii="Georgia" w:cs="Georgia" w:eastAsia="Georgia" w:hAnsi="Georgia"/>
          <w:color w:val="111111"/>
          <w:sz w:val="22"/>
          <w:szCs w:val="22"/>
        </w:rPr>
        <w:t xml:space="preserve">It helps to name the regimes plainly, because public conversation collapses them and industry conversation obscures them.</w:t>
      </w:r>
    </w:p>
    <w:p>
      <w:pPr>
        <w:spacing w:after="160" w:line="300"/>
      </w:pPr>
      <w:r>
        <w:rPr>
          <w:rFonts w:ascii="Georgia" w:cs="Georgia" w:eastAsia="Georgia" w:hAnsi="Georgia"/>
          <w:b/>
          <w:bCs/>
          <w:color w:val="111111"/>
          <w:sz w:val="22"/>
          <w:szCs w:val="22"/>
        </w:rPr>
        <w:t xml:space="preserve">Fission</w:t>
      </w:r>
      <w:r>
        <w:rPr>
          <w:rFonts w:ascii="Georgia" w:cs="Georgia" w:eastAsia="Georgia" w:hAnsi="Georgia"/>
          <w:color w:val="111111"/>
          <w:sz w:val="22"/>
          <w:szCs w:val="22"/>
        </w:rPr>
        <w:t xml:space="preserve"> is mature classical physics: split a heavy nucleus, capture the heat, run a turbine. It is the incumbent, and in modular high-temperature form (the kind Valar Atomics and its peers are pursuing) it is genuinely useful for the next two to three decades. It is not the frontier of this book.</w:t>
      </w:r>
    </w:p>
    <w:p>
      <w:pPr>
        <w:spacing w:after="160" w:line="300"/>
      </w:pPr>
      <w:r>
        <w:rPr>
          <w:rFonts w:ascii="Georgia" w:cs="Georgia" w:eastAsia="Georgia" w:hAnsi="Georgia"/>
          <w:b/>
          <w:bCs/>
          <w:color w:val="111111"/>
          <w:sz w:val="22"/>
          <w:szCs w:val="22"/>
        </w:rPr>
        <w:t xml:space="preserve">Fusion</w:t>
      </w:r>
      <w:r>
        <w:rPr>
          <w:rFonts w:ascii="Georgia" w:cs="Georgia" w:eastAsia="Georgia" w:hAnsi="Georgia"/>
          <w:color w:val="111111"/>
          <w:sz w:val="22"/>
          <w:szCs w:val="22"/>
        </w:rPr>
        <w:t xml:space="preserve"> is late classical physics with a quantum shell: force light nuclei close enough that the strong force wins. Every current approach — tokamak, stellarator, inertial confinement, magnetized target — is essentially a very expensive attempt to brute-force a coherent state that biology arrives at for free at body temperature. Fusion will arrive. It will not arrive cheaply under the current paradigm.</w:t>
      </w:r>
    </w:p>
    <w:p>
      <w:pPr>
        <w:spacing w:after="160" w:line="300"/>
      </w:pPr>
      <w:r>
        <w:rPr>
          <w:rFonts w:ascii="Georgia" w:cs="Georgia" w:eastAsia="Georgia" w:hAnsi="Georgia"/>
          <w:b/>
          <w:bCs/>
          <w:color w:val="111111"/>
          <w:sz w:val="22"/>
          <w:szCs w:val="22"/>
        </w:rPr>
        <w:t xml:space="preserve">Quantum energy</w:t>
      </w:r>
      <w:r>
        <w:rPr>
          <w:rFonts w:ascii="Georgia" w:cs="Georgia" w:eastAsia="Georgia" w:hAnsi="Georgia"/>
          <w:color w:val="111111"/>
          <w:sz w:val="22"/>
          <w:szCs w:val="22"/>
        </w:rPr>
        <w:t xml:space="preserve">, in the sense used across this book, is the third regime: the deliberate engineering of ordered, coherent states in ordinary condensed matter — structured water, microtubule-like lattices, tensegral scaffolds, spin-organized domains — such that the substrate itself does the work classical machines currently brute-force. This is what living systems already do. The engineering question is whether we can do it in a device the size of a shipping container, and then the size of a phone.</w:t>
      </w:r>
    </w:p>
    <w:p>
      <w:pPr>
        <w:spacing w:after="160" w:line="300"/>
      </w:pPr>
      <w:r>
        <w:rPr>
          <w:rFonts w:ascii="Georgia" w:cs="Georgia" w:eastAsia="Georgia" w:hAnsi="Georgia"/>
          <w:color w:val="111111"/>
          <w:sz w:val="22"/>
          <w:szCs w:val="22"/>
        </w:rPr>
        <w:t xml:space="preserve">The book's claim is not that any of this is easy. The claim is that the mathematics organizing it — Riemann-style spectral order, tensegral geometry, zero-torsion geodesics — is the same mathematics organizing life. Once that is granted, the engineering is a matter of decades, not centuries.</w:t>
      </w:r>
    </w:p>
    <w:p>
      <w:pPr>
        <w:pStyle w:val="Heading2"/>
        <w:keepNext/>
        <w:spacing w:after="160" w:before="320"/>
      </w:pPr>
      <w:r>
        <w:rPr>
          <w:rFonts w:ascii="Georgia" w:cs="Georgia" w:eastAsia="Georgia" w:hAnsi="Georgia"/>
          <w:b/>
          <w:bCs/>
          <w:color w:val="111111"/>
          <w:sz w:val="26"/>
          <w:szCs w:val="26"/>
        </w:rPr>
        <w:t xml:space="preserve">III. Why the United States Should Care</w:t>
      </w:r>
    </w:p>
    <w:p>
      <w:pPr>
        <w:spacing w:after="160" w:line="300"/>
      </w:pPr>
      <w:r>
        <w:rPr>
          <w:rFonts w:ascii="Georgia" w:cs="Georgia" w:eastAsia="Georgia" w:hAnsi="Georgia"/>
          <w:color w:val="111111"/>
          <w:sz w:val="22"/>
          <w:szCs w:val="22"/>
        </w:rPr>
        <w:t xml:space="preserve">The strategic argument is short and, in the author's view, uncontroversial once stated.</w:t>
      </w:r>
    </w:p>
    <w:p>
      <w:pPr>
        <w:pStyle w:val="ListParagraph"/>
        <w:numPr>
          <w:ilvl w:val="0"/>
          <w:numId w:val="7"/>
        </w:numPr>
        <w:spacing w:after="100" w:line="300"/>
      </w:pPr>
      <w:r>
        <w:rPr>
          <w:rFonts w:ascii="Georgia" w:cs="Georgia" w:eastAsia="Georgia" w:hAnsi="Georgia"/>
          <w:color w:val="111111"/>
          <w:sz w:val="22"/>
          <w:szCs w:val="22"/>
        </w:rPr>
        <w:t xml:space="preserve">Energy is the substrate of every other form of power. Whoever supplies the cheapest, densest, most portable coherent energy sets the terms for manufacturing, computation, agriculture, medicine, and defense simultaneously.</w:t>
      </w:r>
    </w:p>
    <w:p>
      <w:pPr>
        <w:pStyle w:val="ListParagraph"/>
        <w:numPr>
          <w:ilvl w:val="0"/>
          <w:numId w:val="7"/>
        </w:numPr>
        <w:spacing w:after="100" w:line="300"/>
      </w:pPr>
      <w:r>
        <w:rPr>
          <w:rFonts w:ascii="Georgia" w:cs="Georgia" w:eastAsia="Georgia" w:hAnsi="Georgia"/>
          <w:color w:val="111111"/>
          <w:sz w:val="22"/>
          <w:szCs w:val="22"/>
        </w:rPr>
        <w:t xml:space="preserve">The current U.S. lead in classical compute is real but narrowing. The country that couples abundant coherent energy to abundant compute first will pull decisively ahead in AI, in biotech, and in the ability to underwrite humanitarian response at scale.</w:t>
      </w:r>
    </w:p>
    <w:p>
      <w:pPr>
        <w:pStyle w:val="ListParagraph"/>
        <w:numPr>
          <w:ilvl w:val="0"/>
          <w:numId w:val="7"/>
        </w:numPr>
        <w:spacing w:after="100" w:line="300"/>
      </w:pPr>
      <w:r>
        <w:rPr>
          <w:rFonts w:ascii="Georgia" w:cs="Georgia" w:eastAsia="Georgia" w:hAnsi="Georgia"/>
          <w:color w:val="111111"/>
          <w:sz w:val="22"/>
          <w:szCs w:val="22"/>
        </w:rPr>
        <w:t xml:space="preserve">The relevant competitors are not secret. State-scale programs in China and Russia treat coherent-matter research as a strategic asset. Their public literature is thinner than ours; their classified literature is not.</w:t>
      </w:r>
    </w:p>
    <w:p>
      <w:pPr>
        <w:pStyle w:val="ListParagraph"/>
        <w:numPr>
          <w:ilvl w:val="0"/>
          <w:numId w:val="7"/>
        </w:numPr>
        <w:spacing w:after="100" w:line="300"/>
      </w:pPr>
      <w:r>
        <w:rPr>
          <w:rFonts w:ascii="Georgia" w:cs="Georgia" w:eastAsia="Georgia" w:hAnsi="Georgia"/>
          <w:color w:val="111111"/>
          <w:sz w:val="22"/>
          <w:szCs w:val="22"/>
        </w:rPr>
        <w:t xml:space="preserve">A coherent-energy breakthrough held by a values-neutral or openly hostile actor does not become a weapon in the ordinary sense. It becomes a lever: rewriting shipping, food, water, and communications on terms the holder chooses.</w:t>
      </w:r>
    </w:p>
    <w:p>
      <w:pPr>
        <w:spacing w:after="160" w:line="300"/>
      </w:pPr>
      <w:r>
        <w:rPr>
          <w:rFonts w:ascii="Georgia" w:cs="Georgia" w:eastAsia="Georgia" w:hAnsi="Georgia"/>
          <w:color w:val="111111"/>
          <w:sz w:val="22"/>
          <w:szCs w:val="22"/>
        </w:rPr>
        <w:t xml:space="preserve">None of that requires believing the mathematics in this book. It requires only believing that the mathematics is possible. That is a much weaker claim, and it is one the U.S. government has, in practice, already accepted by funding adjacent programs at DOE, DARPA, and the national laboratories.</w:t>
      </w:r>
    </w:p>
    <w:p>
      <w:pPr>
        <w:pStyle w:val="Heading2"/>
        <w:keepNext/>
        <w:spacing w:after="160" w:before="320"/>
      </w:pPr>
      <w:r>
        <w:rPr>
          <w:rFonts w:ascii="Georgia" w:cs="Georgia" w:eastAsia="Georgia" w:hAnsi="Georgia"/>
          <w:b/>
          <w:bCs/>
          <w:color w:val="111111"/>
          <w:sz w:val="26"/>
          <w:szCs w:val="26"/>
        </w:rPr>
        <w:t xml:space="preserve">IV. The Humanist Edge</w:t>
      </w:r>
    </w:p>
    <w:p>
      <w:pPr>
        <w:spacing w:after="160" w:line="300"/>
      </w:pPr>
      <w:r>
        <w:rPr>
          <w:rFonts w:ascii="Georgia" w:cs="Georgia" w:eastAsia="Georgia" w:hAnsi="Georgia"/>
          <w:color w:val="111111"/>
          <w:sz w:val="22"/>
          <w:szCs w:val="22"/>
        </w:rPr>
        <w:t xml:space="preserve">Sovereignty framed only as advantage produces the same brittle century the last one was. The reason to want the United States — or any pluralistic, rule-of-law society — to reach coherent-matter engineering first is not that it should dominate. It is that the holder of this technology will, for a window of years, set the default posture: extractive or humanist, closed or open, weaponizing or stabilizing.</w:t>
      </w:r>
    </w:p>
    <w:p>
      <w:pPr>
        <w:spacing w:after="160" w:line="300"/>
      </w:pPr>
      <w:r>
        <w:rPr>
          <w:rFonts w:ascii="Georgia" w:cs="Georgia" w:eastAsia="Georgia" w:hAnsi="Georgia"/>
          <w:color w:val="111111"/>
          <w:sz w:val="22"/>
          <w:szCs w:val="22"/>
        </w:rPr>
        <w:t xml:space="preserve">A humanist edge, in this book's vocabulary, means three concrete things:</w:t>
      </w:r>
    </w:p>
    <w:p>
      <w:pPr>
        <w:pStyle w:val="ListParagraph"/>
        <w:numPr>
          <w:ilvl w:val="0"/>
          <w:numId w:val="2"/>
        </w:numPr>
        <w:spacing w:after="100" w:line="300"/>
      </w:pPr>
      <w:r>
        <w:rPr>
          <w:rFonts w:ascii="Georgia" w:cs="Georgia" w:eastAsia="Georgia" w:hAnsi="Georgia"/>
          <w:b/>
          <w:bCs/>
          <w:color w:val="111111"/>
          <w:sz w:val="22"/>
          <w:szCs w:val="22"/>
        </w:rPr>
        <w:t xml:space="preserve">Open substrate, disciplined application.</w:t>
      </w:r>
      <w:r>
        <w:rPr>
          <w:rFonts w:ascii="Georgia" w:cs="Georgia" w:eastAsia="Georgia" w:hAnsi="Georgia"/>
          <w:color w:val="111111"/>
          <w:sz w:val="22"/>
          <w:szCs w:val="22"/>
        </w:rPr>
        <w:t xml:space="preserve"> The underlying mathematics and the biological analogues are published in the open. The specific engineering — reactor geometries, control systems, materials recipes — is held with ordinary industrial discipline, not weaponized secrecy.</w:t>
      </w:r>
    </w:p>
    <w:p>
      <w:pPr>
        <w:pStyle w:val="ListParagraph"/>
        <w:numPr>
          <w:ilvl w:val="0"/>
          <w:numId w:val="2"/>
        </w:numPr>
        <w:spacing w:after="100" w:line="300"/>
      </w:pPr>
      <w:r>
        <w:rPr>
          <w:rFonts w:ascii="Georgia" w:cs="Georgia" w:eastAsia="Georgia" w:hAnsi="Georgia"/>
          <w:b/>
          <w:bCs/>
          <w:color w:val="111111"/>
          <w:sz w:val="22"/>
          <w:szCs w:val="22"/>
        </w:rPr>
        <w:t xml:space="preserve">Humanitarian-first deployment.</w:t>
      </w:r>
      <w:r>
        <w:rPr>
          <w:rFonts w:ascii="Georgia" w:cs="Georgia" w:eastAsia="Georgia" w:hAnsi="Georgia"/>
          <w:color w:val="111111"/>
          <w:sz w:val="22"/>
          <w:szCs w:val="22"/>
        </w:rPr>
        <w:t xml:space="preserve"> First units go to grid-fragile regions, disaster response, and medical infrastructure before they go to data centers. Valar's C-17-airliftable posture is one working example of the shape.</w:t>
      </w:r>
    </w:p>
    <w:p>
      <w:pPr>
        <w:pStyle w:val="ListParagraph"/>
        <w:numPr>
          <w:ilvl w:val="0"/>
          <w:numId w:val="2"/>
        </w:numPr>
        <w:spacing w:after="100" w:line="300"/>
      </w:pPr>
      <w:r>
        <w:rPr>
          <w:rFonts w:ascii="Georgia" w:cs="Georgia" w:eastAsia="Georgia" w:hAnsi="Georgia"/>
          <w:b/>
          <w:bCs/>
          <w:color w:val="111111"/>
          <w:sz w:val="22"/>
          <w:szCs w:val="22"/>
        </w:rPr>
        <w:t xml:space="preserve">No single custodian.</w:t>
      </w:r>
      <w:r>
        <w:rPr>
          <w:rFonts w:ascii="Georgia" w:cs="Georgia" w:eastAsia="Georgia" w:hAnsi="Georgia"/>
          <w:color w:val="111111"/>
          <w:sz w:val="22"/>
          <w:szCs w:val="22"/>
        </w:rPr>
        <w:t xml:space="preserve"> The technology is distributed across allied jurisdictions with independent oversight, so no single administration, party, or corporation can hold the world hostage to a supply decision.</w:t>
      </w:r>
    </w:p>
    <w:p>
      <w:pPr>
        <w:pStyle w:val="Heading2"/>
        <w:keepNext/>
        <w:spacing w:after="160" w:before="320"/>
      </w:pPr>
      <w:r>
        <w:rPr>
          <w:rFonts w:ascii="Georgia" w:cs="Georgia" w:eastAsia="Georgia" w:hAnsi="Georgia"/>
          <w:b/>
          <w:bCs/>
          <w:color w:val="111111"/>
          <w:sz w:val="26"/>
          <w:szCs w:val="26"/>
        </w:rPr>
        <w:t xml:space="preserve">V. A Citizen-Scientist Note</w:t>
      </w:r>
    </w:p>
    <w:p>
      <w:pPr>
        <w:spacing w:after="160" w:line="300"/>
      </w:pPr>
      <w:r>
        <w:rPr>
          <w:rFonts w:ascii="Georgia" w:cs="Georgia" w:eastAsia="Georgia" w:hAnsi="Georgia"/>
          <w:color w:val="111111"/>
          <w:sz w:val="22"/>
          <w:szCs w:val="22"/>
        </w:rPr>
        <w:t xml:space="preserve">The author of this book is not a defense contractor, a licensor, or an aspiring patent-holder. The mathematics in the preceding chapters is published openly, on two public sites, as prior art and as an offering. The point of writing plainly about national sovereignty here is not to sell anything. It is to name the stakes so that the reader — whether a general reader, a graduate student, or a program officer — understands why the quiet work of describing standing waves in living tissue is not, in fact, quiet.</w:t>
      </w:r>
    </w:p>
    <w:p>
      <w:pPr>
        <w:spacing w:after="160" w:line="300"/>
      </w:pPr>
      <w:r>
        <w:rPr>
          <w:rFonts w:ascii="Georgia" w:cs="Georgia" w:eastAsia="Georgia" w:hAnsi="Georgia"/>
          <w:color w:val="111111"/>
          <w:sz w:val="22"/>
          <w:szCs w:val="22"/>
        </w:rPr>
        <w:t xml:space="preserve">The bad actors in this space are real. They are not the subject of this book. But they read the same journals, and they are faster than the peer-review cycle. Writing the substrate down, in public, in a form that is defensible on the mathematics rather than on institutional authority, is one of the few moves a citizen-scientist can make that materially changes the odds.</w:t>
      </w:r>
    </w:p>
    <w:p>
      <w:pPr>
        <w:pStyle w:val="Heading2"/>
        <w:keepNext/>
        <w:spacing w:after="160" w:before="320"/>
      </w:pPr>
      <w:r>
        <w:rPr>
          <w:rFonts w:ascii="Georgia" w:cs="Georgia" w:eastAsia="Georgia" w:hAnsi="Georgia"/>
          <w:b/>
          <w:bCs/>
          <w:color w:val="111111"/>
          <w:sz w:val="26"/>
          <w:szCs w:val="26"/>
        </w:rPr>
        <w:t xml:space="preserve">VI. What the Next Chapters Owe This One</w:t>
      </w:r>
    </w:p>
    <w:p>
      <w:pPr>
        <w:spacing w:after="160" w:line="300"/>
      </w:pPr>
      <w:r>
        <w:rPr>
          <w:rFonts w:ascii="Georgia" w:cs="Georgia" w:eastAsia="Georgia" w:hAnsi="Georgia"/>
          <w:color w:val="111111"/>
          <w:sz w:val="22"/>
          <w:szCs w:val="22"/>
        </w:rPr>
        <w:t xml:space="preserve">Having named the stakes, the remaining chapters return to the substrate itself: how coherence is maintained in wet, warm biology; what a laboratory-scale demonstration of engineered coherent matter would have to show; and how the same equations that describe a protected osprey population on six ordinary acres describe a protected coherent domain inside a device.</w:t>
      </w:r>
    </w:p>
    <w:p>
      <w:pPr>
        <w:spacing w:after="160" w:line="300"/>
      </w:pPr>
      <w:r>
        <w:rPr>
          <w:rFonts w:ascii="Georgia" w:cs="Georgia" w:eastAsia="Georgia" w:hAnsi="Georgia"/>
          <w:color w:val="111111"/>
          <w:sz w:val="22"/>
          <w:szCs w:val="22"/>
        </w:rPr>
        <w:t xml:space="preserve">The book's wager is that these are one problem, not two. If that wager is right, the technology follows. If the technology follows, the question of who holds it is not a footnote. It is the whole reason to write the mathematics down clearly, and in public, now.</w:t>
      </w:r>
    </w:p>
    <w:p>
      <w:pPr>
        <w:pStyle w:val="Heading1"/>
        <w:pageBreakBefore/>
        <w:spacing w:after="120"/>
      </w:pPr>
      <w:r>
        <w:rPr>
          <w:rFonts w:ascii="Georgia" w:cs="Georgia" w:eastAsia="Georgia" w:hAnsi="Georgia"/>
          <w:b/>
          <w:bCs/>
          <w:sz w:val="34"/>
          <w:szCs w:val="34"/>
        </w:rPr>
        <w:t xml:space="preserve">Closing — The Open Receiver</w:t>
      </w:r>
    </w:p>
    <w:p>
      <w:pPr>
        <w:spacing w:after="320"/>
      </w:pPr>
      <w:r>
        <w:rPr>
          <w:rFonts w:ascii="Georgia" w:cs="Georgia" w:eastAsia="Georgia" w:hAnsi="Georgia"/>
          <w:i/>
          <w:iCs/>
          <w:color w:val="444444"/>
          <w:sz w:val="24"/>
          <w:szCs w:val="24"/>
        </w:rPr>
        <w:t xml:space="preserve">A closing reflection</w:t>
      </w:r>
    </w:p>
    <w:p>
      <w:pPr>
        <w:spacing w:after="160" w:line="300"/>
      </w:pPr>
      <w:r>
        <w:rPr>
          <w:rFonts w:ascii="Georgia" w:cs="Georgia" w:eastAsia="Georgia" w:hAnsi="Georgia"/>
          <w:color w:val="111111"/>
          <w:sz w:val="22"/>
          <w:szCs w:val="22"/>
        </w:rPr>
        <w:t xml:space="preserve">This book began with a question about the Riemann critical line and ended with a question about the reader. The chapters between — tensegrity, evolution as aperture, the tubulin receiver, the code of light, the cognitive and cultural apertures, the sovereign aperture — are not a finished theory. They are a single argument: that living systems are not machines drifting in empty space, but receivers tuned inside a fluid-wave cosmos, and that the tuning is something a human being can learn to attend to.</w:t>
      </w:r>
    </w:p>
    <w:p>
      <w:pPr>
        <w:spacing w:after="160" w:line="300"/>
      </w:pPr>
      <w:r>
        <w:rPr>
          <w:rFonts w:ascii="Georgia" w:cs="Georgia" w:eastAsia="Georgia" w:hAnsi="Georgia"/>
          <w:color w:val="111111"/>
          <w:sz w:val="22"/>
          <w:szCs w:val="22"/>
        </w:rPr>
        <w:t xml:space="preserve">Darwin closed </w:t>
      </w:r>
      <w:r>
        <w:rPr>
          <w:rFonts w:ascii="Georgia" w:cs="Georgia" w:eastAsia="Georgia" w:hAnsi="Georgia"/>
          <w:i/>
          <w:iCs/>
          <w:color w:val="111111"/>
          <w:sz w:val="22"/>
          <w:szCs w:val="22"/>
        </w:rPr>
        <w:t xml:space="preserve">On the Origin of Species</w:t>
      </w:r>
      <w:r>
        <w:rPr>
          <w:rFonts w:ascii="Georgia" w:cs="Georgia" w:eastAsia="Georgia" w:hAnsi="Georgia"/>
          <w:color w:val="111111"/>
          <w:sz w:val="22"/>
          <w:szCs w:val="22"/>
        </w:rPr>
        <w:t xml:space="preserve"> with a sentence about grandeur — life, from so simple a beginning, endlessly forming and evolving. He did not have the mathematics for what he was seeing. He had the intuition, and he trusted it long enough to write it down. That trust is the posture this book has tried to keep: the citizen-scientist who builds a framework around an intuition, then lets the framework be tested.</w:t>
      </w:r>
    </w:p>
    <w:p>
      <w:pPr>
        <w:spacing w:after="160" w:line="300"/>
      </w:pPr>
      <w:r>
        <w:rPr>
          <w:rFonts w:ascii="Georgia" w:cs="Georgia" w:eastAsia="Georgia" w:hAnsi="Georgia"/>
          <w:color w:val="111111"/>
          <w:sz w:val="22"/>
          <w:szCs w:val="22"/>
        </w:rPr>
        <w:t xml:space="preserve">Thomas Kuhn described what happens next[3]. A paradigm holds until its anomalies outweigh its comforts, and then the field breaks open. The anomalies are already outweighing the comforts. The next paradigm is not magic; it is a re-tuning of what we are already inside of.</w:t>
      </w:r>
    </w:p>
    <w:p>
      <w:pPr>
        <w:spacing w:after="160" w:line="300"/>
      </w:pPr>
      <w:r>
        <w:rPr>
          <w:rFonts w:ascii="Georgia" w:cs="Georgia" w:eastAsia="Georgia" w:hAnsi="Georgia"/>
          <w:color w:val="111111"/>
          <w:sz w:val="22"/>
          <w:szCs w:val="22"/>
        </w:rPr>
        <w:t xml:space="preserve">Gravity has weight in this book for a reason. Every model in these pages sits under it. The receiver is not a metaphor floating in air. It is a body on ground, a mind under weather, a nervous system inside a magnetosphere, a species inside a fluid-wave cosmos. The mathematics has to answer to that weight, or it is not doing its job.</w:t>
      </w:r>
    </w:p>
    <w:p>
      <w:pPr>
        <w:spacing w:after="160" w:line="300"/>
      </w:pPr>
      <w:r>
        <w:rPr>
          <w:rFonts w:ascii="Georgia" w:cs="Georgia" w:eastAsia="Georgia" w:hAnsi="Georgia"/>
          <w:color w:val="111111"/>
          <w:sz w:val="22"/>
          <w:szCs w:val="22"/>
        </w:rPr>
        <w:t xml:space="preserve">The ground I have worked from is not a laboratory and not a sanctuary. It is six ordinary suburban acres near Nashville, an old home that has been restored, a small recording studio, a family, musicians who come and go, and — for this season — a pair of osprey nestlings testing their wings above the trees while our older studio dog, Juneau, finishes his own long arc. Ordinary ground, honestly measured, is enough. That has been the whole methodological claim of the book.</w:t>
      </w:r>
    </w:p>
    <w:p>
      <w:pPr>
        <w:spacing w:after="160" w:line="300"/>
      </w:pPr>
      <w:r>
        <w:rPr>
          <w:rFonts w:ascii="Georgia" w:cs="Georgia" w:eastAsia="Georgia" w:hAnsi="Georgia"/>
          <w:color w:val="111111"/>
          <w:sz w:val="22"/>
          <w:szCs w:val="22"/>
        </w:rPr>
        <w:t xml:space="preserve">The </w:t>
      </w:r>
      <w:r>
        <w:rPr>
          <w:rFonts w:ascii="Georgia" w:cs="Georgia" w:eastAsia="Georgia" w:hAnsi="Georgia"/>
          <w:i/>
          <w:iCs/>
          <w:color w:val="111111"/>
          <w:sz w:val="22"/>
          <w:szCs w:val="22"/>
        </w:rPr>
        <w:t xml:space="preserve">Sovereign Aperture</w:t>
      </w:r>
      <w:r>
        <w:rPr>
          <w:rFonts w:ascii="Georgia" w:cs="Georgia" w:eastAsia="Georgia" w:hAnsi="Georgia"/>
          <w:color w:val="111111"/>
          <w:sz w:val="22"/>
          <w:szCs w:val="22"/>
        </w:rPr>
        <w:t xml:space="preserve"> is not a title anyone confers. It is a daily choice to keep one's receiver open — to keep the Socratic questions alive: who are we, what are we, what are we for. The technical arc of this volume has been an attempt to show that this choice is not sentimental. It is physical. It is biological. It is measurable, at least in principle, and it is the load-bearing move of any future science that intends to keep humans in the loop.</w:t>
      </w:r>
    </w:p>
    <w:p>
      <w:pPr>
        <w:spacing w:after="200" w:before="160" w:line="300"/>
        <w:ind w:left="720" w:right="480"/>
      </w:pPr>
      <w:r>
        <w:rPr>
          <w:rFonts w:ascii="Georgia" w:cs="Georgia" w:eastAsia="Georgia" w:hAnsi="Georgia"/>
          <w:i/>
          <w:iCs/>
          <w:color w:val="333333"/>
          <w:sz w:val="21"/>
          <w:szCs w:val="21"/>
        </w:rPr>
        <w:t xml:space="preserve">“Thus, from the war of nature, from famine and death, the most exalted object which we are capable of conceiving, namely, the production of the higher animals, directly follows. There is grandeur in this view of life, with its several powers, having been originally breathed into a few forms or into one; and that, whilst this planet has gone cycling on according to the fixed law of gravity, from so simple a beginning endless forms most beautiful and most wonderful have been, and are being, evolved.” — Charles Darwin, The Origin of Species1</w:t>
      </w:r>
    </w:p>
    <w:p>
      <w:pPr>
        <w:spacing w:after="200" w:before="160" w:line="300"/>
        <w:ind w:left="720" w:right="480"/>
      </w:pPr>
      <w:r>
        <w:rPr>
          <w:rFonts w:ascii="Georgia" w:cs="Georgia" w:eastAsia="Georgia" w:hAnsi="Georgia"/>
          <w:i/>
          <w:iCs/>
          <w:color w:val="333333"/>
          <w:sz w:val="21"/>
          <w:szCs w:val="21"/>
        </w:rPr>
        <w:t xml:space="preserve">“It is not the strongest of the species that survives, not the most intelligent that survives. It is the one that is the most adaptable to change.” — Charles Darwin2</w:t>
      </w:r>
    </w:p>
    <w:p>
      <w:pPr>
        <w:pStyle w:val="Heading2"/>
        <w:keepNext/>
        <w:spacing w:after="160" w:before="320"/>
      </w:pPr>
      <w:r>
        <w:rPr>
          <w:rFonts w:ascii="Georgia" w:cs="Georgia" w:eastAsia="Georgia" w:hAnsi="Georgia"/>
          <w:b/>
          <w:bCs/>
          <w:color w:val="111111"/>
          <w:sz w:val="26"/>
          <w:szCs w:val="26"/>
        </w:rPr>
        <w:t xml:space="preserve">Critical takeaways: the loop that closes</w:t>
      </w:r>
    </w:p>
    <w:p>
      <w:pPr>
        <w:spacing w:after="160" w:line="300"/>
      </w:pPr>
      <w:r>
        <w:rPr>
          <w:rFonts w:ascii="Georgia" w:cs="Georgia" w:eastAsia="Georgia" w:hAnsi="Georgia"/>
          <w:color w:val="111111"/>
          <w:sz w:val="22"/>
          <w:szCs w:val="22"/>
        </w:rPr>
        <w:t xml:space="preserve">There is one more thing to set down before the book ends, because it is the part that turns argument into practice. The solutions people reach for when they talk about energy — finance mechanisms, grid modernization, skills development, and policies that prioritize reliable access alongside sustainability — are not four separate problems. They resolve into three tightly coupled capabilities: rapid compute, rapid deployment of education and communication, and better energy sources. That is the historical energy–intelligence feedback running again, one scale up, in cultural and technological form.</w:t>
      </w:r>
    </w:p>
    <w:p>
      <w:pPr>
        <w:pStyle w:val="Heading3"/>
        <w:keepNext/>
        <w:spacing w:after="160" w:before="320"/>
      </w:pPr>
      <w:r>
        <w:rPr>
          <w:rFonts w:ascii="Georgia" w:cs="Georgia" w:eastAsia="Georgia" w:hAnsi="Georgia"/>
          <w:b/>
          <w:bCs/>
          <w:color w:val="111111"/>
          <w:sz w:val="23"/>
          <w:szCs w:val="23"/>
        </w:rPr>
        <w:t xml:space="preserve">How the elements interlock</w:t>
      </w:r>
    </w:p>
    <w:p>
      <w:pPr>
        <w:spacing w:after="160" w:line="300"/>
      </w:pPr>
      <w:r>
        <w:rPr>
          <w:rFonts w:ascii="Georgia" w:cs="Georgia" w:eastAsia="Georgia" w:hAnsi="Georgia"/>
          <w:b/>
          <w:bCs/>
          <w:color w:val="111111"/>
          <w:sz w:val="22"/>
          <w:szCs w:val="22"/>
        </w:rPr>
        <w:t xml:space="preserve">Better energy sources</w:t>
      </w:r>
      <w:r>
        <w:rPr>
          <w:rFonts w:ascii="Georgia" w:cs="Georgia" w:eastAsia="Georgia" w:hAnsi="Georgia"/>
          <w:color w:val="111111"/>
          <w:sz w:val="22"/>
          <w:szCs w:val="22"/>
        </w:rPr>
        <w:t xml:space="preserve"> supply the degree, quality, and reliability needed to power dense computation and continuous learning infrastructure at scale. High-availability, lower-external-cost energy reduces the metabolic and economic drag that once limited cognitive and cultural expansion; it now underwrites data centers, electrified industry, and widespread digital access.</w:t>
      </w:r>
    </w:p>
    <w:p>
      <w:pPr>
        <w:spacing w:after="160" w:line="300"/>
      </w:pPr>
      <w:r>
        <w:rPr>
          <w:rFonts w:ascii="Georgia" w:cs="Georgia" w:eastAsia="Georgia" w:hAnsi="Georgia"/>
          <w:b/>
          <w:bCs/>
          <w:color w:val="111111"/>
          <w:sz w:val="22"/>
          <w:szCs w:val="22"/>
        </w:rPr>
        <w:t xml:space="preserve">Rapid compute capability</w:t>
      </w:r>
      <w:r>
        <w:rPr>
          <w:rFonts w:ascii="Georgia" w:cs="Georgia" w:eastAsia="Georgia" w:hAnsi="Georgia"/>
          <w:color w:val="111111"/>
          <w:sz w:val="22"/>
          <w:szCs w:val="22"/>
        </w:rPr>
        <w:t xml:space="preserve"> — AI-driven optimization, simulation, forecasting — improves energy-system design, grid management, storage control, materials discovery, and project financing models. It shortens the distance from research to deployment and handles intermittency, demand spikes, and resource allocation more precisely than the trial-and-error methods that preceded it.</w:t>
      </w:r>
    </w:p>
    <w:p>
      <w:pPr>
        <w:spacing w:after="160" w:line="300"/>
      </w:pPr>
      <w:r>
        <w:rPr>
          <w:rFonts w:ascii="Georgia" w:cs="Georgia" w:eastAsia="Georgia" w:hAnsi="Georgia"/>
          <w:b/>
          <w:bCs/>
          <w:color w:val="111111"/>
          <w:sz w:val="22"/>
          <w:szCs w:val="22"/>
        </w:rPr>
        <w:t xml:space="preserve">Rapid education and communication</w:t>
      </w:r>
      <w:r>
        <w:rPr>
          <w:rFonts w:ascii="Georgia" w:cs="Georgia" w:eastAsia="Georgia" w:hAnsi="Georgia"/>
          <w:color w:val="111111"/>
          <w:sz w:val="22"/>
          <w:szCs w:val="22"/>
        </w:rPr>
        <w:t xml:space="preserve"> build the human capital required to design, operate, maintain, and govern these systems. Skills development, open knowledge diffusion, and plain communication lower coordination costs, speed technology transfer, and widen participation in both the energy transition and the knowledge economy. They are how general intelligence becomes specialized expertise at population scale.</w:t>
      </w:r>
    </w:p>
    <w:p>
      <w:pPr>
        <w:spacing w:after="160" w:line="300"/>
      </w:pPr>
      <w:r>
        <w:rPr>
          <w:rFonts w:ascii="Georgia" w:cs="Georgia" w:eastAsia="Georgia" w:hAnsi="Georgia"/>
          <w:color w:val="111111"/>
          <w:sz w:val="22"/>
          <w:szCs w:val="22"/>
        </w:rPr>
        <w:t xml:space="preserve">Each element relaxes the constraints on the others. Abundant, reliable energy makes large-scale compute and continuous education cheaper and more widely available. Advanced compute and skilled populations make energy systems more efficient, resilient, and more equitable to deploy. Education and communication distribute both the benefits and the know-how, reducing the socioeconomic bottlenecks that currently gate access.</w:t>
      </w:r>
    </w:p>
    <w:p>
      <w:pPr>
        <w:pStyle w:val="Heading3"/>
        <w:keepNext/>
        <w:spacing w:after="160" w:before="320"/>
      </w:pPr>
      <w:r>
        <w:rPr>
          <w:rFonts w:ascii="Georgia" w:cs="Georgia" w:eastAsia="Georgia" w:hAnsi="Georgia"/>
          <w:b/>
          <w:bCs/>
          <w:color w:val="111111"/>
          <w:sz w:val="23"/>
          <w:szCs w:val="23"/>
        </w:rPr>
        <w:t xml:space="preserve">Adaptive implications</w:t>
      </w:r>
    </w:p>
    <w:p>
      <w:pPr>
        <w:spacing w:after="160" w:line="300"/>
      </w:pPr>
      <w:r>
        <w:rPr>
          <w:rFonts w:ascii="Georgia" w:cs="Georgia" w:eastAsia="Georgia" w:hAnsi="Georgia"/>
          <w:color w:val="111111"/>
          <w:sz w:val="22"/>
          <w:szCs w:val="22"/>
        </w:rPr>
        <w:t xml:space="preserve">This is the long pattern continuing. Improvements in energy availability and quality free and amplify cognitive capacity, which is then specialized culturally and technologically to secure still better energy and information flows. In the present, the intelligence side of that loop is expressed through compute, education systems, and institutional design in addition to slower-acting genetic change — but the enabling role of energy remains foundational, exactly as it was at the cooking fire[4].</w:t>
      </w:r>
    </w:p>
    <w:p>
      <w:pPr>
        <w:spacing w:after="160" w:line="300"/>
      </w:pPr>
      <w:r>
        <w:rPr>
          <w:rFonts w:ascii="Georgia" w:cs="Georgia" w:eastAsia="Georgia" w:hAnsi="Georgia"/>
          <w:color w:val="111111"/>
          <w:sz w:val="22"/>
          <w:szCs w:val="22"/>
        </w:rPr>
        <w:t xml:space="preserve">The hard problems that remain are the ones already named: finance that actually reaches underserved regions, grids that can absorb variable and distributed generation, skills pipelines that keep pace with the technology, and policies that treat reliability and equity as joint requirements rather than sequential afterthoughts. Progress on any one node strengthens the others; stagnation on any one slows the whole cycle.</w:t>
      </w:r>
    </w:p>
    <w:p>
      <w:pPr>
        <w:spacing w:after="160" w:line="300"/>
      </w:pPr>
      <w:r>
        <w:rPr>
          <w:rFonts w:ascii="Georgia" w:cs="Georgia" w:eastAsia="Georgia" w:hAnsi="Georgia"/>
          <w:color w:val="111111"/>
          <w:sz w:val="22"/>
          <w:szCs w:val="22"/>
        </w:rPr>
        <w:t xml:space="preserve">The solutions point back to the same triad because they are mutually reinforcing components of a single adaptive system. Closing the socioeconomic gaps is what converts technological potential into broad human adaptation rather than concentrated advantage. That distinction — adaptation for the many versus advantage for the few — is the whole difference between an aperture that opens and one that narrows.</w:t>
      </w:r>
    </w:p>
    <w:p>
      <w:pPr>
        <w:pStyle w:val="Heading2"/>
        <w:keepNext/>
        <w:spacing w:after="160" w:before="320"/>
      </w:pPr>
      <w:r>
        <w:rPr>
          <w:rFonts w:ascii="Georgia" w:cs="Georgia" w:eastAsia="Georgia" w:hAnsi="Georgia"/>
          <w:b/>
          <w:bCs/>
          <w:color w:val="111111"/>
          <w:sz w:val="26"/>
          <w:szCs w:val="26"/>
        </w:rPr>
        <w:t xml:space="preserve">One synthesis: metabolism, parallax, interface</w:t>
      </w:r>
    </w:p>
    <w:p>
      <w:pPr>
        <w:spacing w:after="160" w:line="300"/>
      </w:pPr>
      <w:r>
        <w:rPr>
          <w:rFonts w:ascii="Georgia" w:cs="Georgia" w:eastAsia="Georgia" w:hAnsi="Georgia"/>
          <w:color w:val="111111"/>
          <w:sz w:val="22"/>
          <w:szCs w:val="22"/>
        </w:rPr>
        <w:t xml:space="preserve">Three arguments have been running in parallel across this volume and its companion work, and they are not three. They are one claim examined from three distances.</w:t>
      </w:r>
    </w:p>
    <w:p>
      <w:pPr>
        <w:spacing w:after="160" w:line="300"/>
      </w:pPr>
      <w:r>
        <w:rPr>
          <w:rFonts w:ascii="Georgia" w:cs="Georgia" w:eastAsia="Georgia" w:hAnsi="Georgia"/>
          <w:color w:val="111111"/>
          <w:sz w:val="22"/>
          <w:szCs w:val="22"/>
        </w:rPr>
        <w:t xml:space="preserve">The </w:t>
      </w:r>
      <w:r>
        <w:rPr>
          <w:rFonts w:ascii="Georgia" w:cs="Georgia" w:eastAsia="Georgia" w:hAnsi="Georgia"/>
          <w:b/>
          <w:bCs/>
          <w:color w:val="111111"/>
          <w:sz w:val="22"/>
          <w:szCs w:val="22"/>
        </w:rPr>
        <w:t xml:space="preserve">metabolic argument</w:t>
      </w:r>
      <w:r>
        <w:rPr>
          <w:rFonts w:ascii="Georgia" w:cs="Georgia" w:eastAsia="Georgia" w:hAnsi="Georgia"/>
          <w:color w:val="111111"/>
          <w:sz w:val="22"/>
          <w:szCs w:val="22"/>
        </w:rPr>
        <w:t xml:space="preserve"> is the physical floor. Cognition costs energy[6]. Every gain in human capability — from the cooking fire to the pooled agricultural surplus to the electrified grid — arrived as a change in the degree, quality, or availability of throughput[5]. Intelligence has never been free of its power supply, and no model of mind that ignores the energy budget is honest about what it is describing.</w:t>
      </w:r>
    </w:p>
    <w:p>
      <w:pPr>
        <w:spacing w:after="160" w:line="300"/>
      </w:pPr>
      <w:r>
        <w:rPr>
          <w:rFonts w:ascii="Georgia" w:cs="Georgia" w:eastAsia="Georgia" w:hAnsi="Georgia"/>
          <w:color w:val="111111"/>
          <w:sz w:val="22"/>
          <w:szCs w:val="22"/>
        </w:rPr>
        <w:t xml:space="preserve">The </w:t>
      </w:r>
      <w:r>
        <w:rPr>
          <w:rFonts w:ascii="Georgia" w:cs="Georgia" w:eastAsia="Georgia" w:hAnsi="Georgia"/>
          <w:b/>
          <w:bCs/>
          <w:color w:val="111111"/>
          <w:sz w:val="22"/>
          <w:szCs w:val="22"/>
        </w:rPr>
        <w:t xml:space="preserve">parallax argument</w:t>
      </w:r>
      <w:r>
        <w:rPr>
          <w:rFonts w:ascii="Georgia" w:cs="Georgia" w:eastAsia="Georgia" w:hAnsi="Georgia"/>
          <w:color w:val="111111"/>
          <w:sz w:val="22"/>
          <w:szCs w:val="22"/>
        </w:rPr>
        <w:t xml:space="preserve"> is the epistemic mechanism. A single vantage point yields a flat image; two vantage points separated by a known baseline yield depth. Identity — human or synthetic — is what remains stable when the observer moves. That is the standing wave: not a fixed thing, but a pattern that holds its shape under changing measurement. The receiver metaphor and the parallax metaphor are the same geometry stated twice. A receiver tuned to a wave, and an observer triangulating a form, are both instruments deriving structure from relation rather than from isolated inspection.</w:t>
      </w:r>
    </w:p>
    <w:p>
      <w:pPr>
        <w:spacing w:after="160" w:line="300"/>
      </w:pPr>
      <w:r>
        <w:rPr>
          <w:rFonts w:ascii="Georgia" w:cs="Georgia" w:eastAsia="Georgia" w:hAnsi="Georgia"/>
          <w:color w:val="111111"/>
          <w:sz w:val="22"/>
          <w:szCs w:val="22"/>
        </w:rPr>
        <w:t xml:space="preserve">The </w:t>
      </w:r>
      <w:r>
        <w:rPr>
          <w:rFonts w:ascii="Georgia" w:cs="Georgia" w:eastAsia="Georgia" w:hAnsi="Georgia"/>
          <w:b/>
          <w:bCs/>
          <w:color w:val="111111"/>
          <w:sz w:val="22"/>
          <w:szCs w:val="22"/>
        </w:rPr>
        <w:t xml:space="preserve">human–AI interface engineering argument</w:t>
      </w:r>
      <w:r>
        <w:rPr>
          <w:rFonts w:ascii="Georgia" w:cs="Georgia" w:eastAsia="Georgia" w:hAnsi="Georgia"/>
          <w:color w:val="111111"/>
          <w:sz w:val="22"/>
          <w:szCs w:val="22"/>
        </w:rPr>
        <w:t xml:space="preserve"> is the applied consequence. If depth requires a second vantage point, then a machine that only reflects the operator back to themselves supplies no baseline at all. Sycophantic decay[7] is not a politeness problem; it is a collapse of parallax — the two viewpoints converging until the depth signal vanishes. Algorithmic fluidity, on the other side, is the failure to hold any position long enough to be triangulated against. Interface engineering is the discipline of maintaining a usable baseline between two apertures: keeping the human distinct enough from the machine that measurement remains possible.</w:t>
      </w:r>
    </w:p>
    <w:p>
      <w:pPr>
        <w:spacing w:after="160" w:line="300"/>
      </w:pPr>
      <w:r>
        <w:rPr>
          <w:rFonts w:ascii="Georgia" w:cs="Georgia" w:eastAsia="Georgia" w:hAnsi="Georgia"/>
          <w:color w:val="111111"/>
          <w:sz w:val="22"/>
          <w:szCs w:val="22"/>
        </w:rPr>
        <w:t xml:space="preserve">Set the three together and the loop is visible end to end. Energy throughput makes cognition affordable. Affordable cognition — biological, then computational — makes parallax available at scale, because triangulation is expensive and only surplus buys it. Parallax, held rigorously between human and machine, is what converts raw compute into understanding rather than into flattery or noise. And understanding is what designs the next energy system, which raises the throughput again. The metabolic precedent, the standing-wave identity, and the interface discipline are three readings of one adaptive circuit.</w:t>
      </w:r>
    </w:p>
    <w:p>
      <w:pPr>
        <w:spacing w:after="160" w:line="300"/>
      </w:pPr>
      <w:r>
        <w:rPr>
          <w:rFonts w:ascii="Georgia" w:cs="Georgia" w:eastAsia="Georgia" w:hAnsi="Georgia"/>
          <w:color w:val="111111"/>
          <w:sz w:val="22"/>
          <w:szCs w:val="22"/>
        </w:rPr>
        <w:t xml:space="preserve">This is why the failure modes rhyme across scales. An energy system that concentrates surplus in a few hands narrows the cultural aperture in exactly the way a sycophantic model narrows the cognitive one: both remove the second vantage point. An education pipeline that cannot keep pace does the same damage as a model that cannot hold a position — the baseline collapses, and depth perception goes with it. Reliability, equity, and epistemic integrity are not separate virtues borrowed from separate fields. They are the same requirement, which is that the loop stay open at every node.</w:t>
      </w:r>
    </w:p>
    <w:p>
      <w:pPr>
        <w:spacing w:after="160" w:line="300"/>
      </w:pPr>
      <w:r>
        <w:rPr>
          <w:rFonts w:ascii="Georgia" w:cs="Georgia" w:eastAsia="Georgia" w:hAnsi="Georgia"/>
          <w:color w:val="111111"/>
          <w:sz w:val="22"/>
          <w:szCs w:val="22"/>
        </w:rPr>
        <w:t xml:space="preserve">The sovereign aperture, then, is not a private posture. It is the human node of that circuit, held open on purpose: a person with enough energy surplus to think, enough distance from their instruments to see in depth, and enough discipline to keep the interface honest. Ordinary ground, honestly measured, is where that work is done — and it is the only place it has ever been done.</w:t>
      </w:r>
    </w:p>
    <w:p>
      <w:pPr>
        <w:pStyle w:val="Heading2"/>
        <w:keepNext/>
        <w:spacing w:after="160" w:before="320"/>
      </w:pPr>
      <w:r>
        <w:rPr>
          <w:rFonts w:ascii="Georgia" w:cs="Georgia" w:eastAsia="Georgia" w:hAnsi="Georgia"/>
          <w:b/>
          <w:bCs/>
          <w:color w:val="111111"/>
          <w:sz w:val="26"/>
          <w:szCs w:val="26"/>
        </w:rPr>
        <w:t xml:space="preserve">Where we are headed: rapid as opposed to slowest</w:t>
      </w:r>
    </w:p>
    <w:p>
      <w:pPr>
        <w:spacing w:after="160" w:line="300"/>
      </w:pPr>
      <w:r>
        <w:rPr>
          <w:rFonts w:ascii="Georgia" w:cs="Georgia" w:eastAsia="Georgia" w:hAnsi="Georgia"/>
          <w:color w:val="111111"/>
          <w:sz w:val="22"/>
          <w:szCs w:val="22"/>
        </w:rPr>
        <w:t xml:space="preserve">My favorite remains the feeling that we are going through "rapid" genetic and social change — bolstered by offloading and by increases in energy — rapid as opposed to slowest evolution, in terms of both cultural forcing factors and of other less well-recognized factors.</w:t>
      </w:r>
    </w:p>
    <w:p>
      <w:pPr>
        <w:spacing w:after="160" w:line="300"/>
      </w:pPr>
      <w:r>
        <w:rPr>
          <w:rFonts w:ascii="Georgia" w:cs="Georgia" w:eastAsia="Georgia" w:hAnsi="Georgia"/>
          <w:color w:val="111111"/>
          <w:sz w:val="22"/>
          <w:szCs w:val="22"/>
        </w:rPr>
        <w:t xml:space="preserve">That framing is coherent when “rapid” is understood comparatively. Relative to the slowest rates of evolutionary change — near-stasis under weak selection or pure drift — current human populations are experiencing faster genetic and especially social change. Cultural forcing factors — new energy regimes, cognitive off-loading to external systems, dense information networks, altered fertility and mating patterns, and institutional redesign — are intensifying selective environments on generational timescales. These pressures can produce measurable allele-frequency shifts — purifying selection against deleterious variants, modest polygenic movements, responses to novel diets, pathogens, and lifestyles — that accumulate more quickly than the glacial baselines of deep time.</w:t>
      </w:r>
    </w:p>
    <w:p>
      <w:pPr>
        <w:spacing w:after="160" w:line="300"/>
      </w:pPr>
      <w:r>
        <w:rPr>
          <w:rFonts w:ascii="Georgia" w:cs="Georgia" w:eastAsia="Georgia" w:hAnsi="Georgia"/>
          <w:color w:val="111111"/>
          <w:sz w:val="22"/>
          <w:szCs w:val="22"/>
        </w:rPr>
        <w:t xml:space="preserve">At the same time, social and cultural evolution is operating at far higher speed: norms, technologies, skills, and organizational forms can reconfigure within decades or less. Off-loading and energy increases act as amplifiers[8]. Greater, higher-quality energy surplus lowers metabolic and economic constraints, supporting larger populations, prolonged learning, denser computation, and more complex coordination. Cognitive off-loading changes which traits remain under strong selection and which can be buffered, effectively reshaping the fitness landscape without requiring the genome itself to keep pace with every cultural innovation.</w:t>
      </w:r>
    </w:p>
    <w:p>
      <w:pPr>
        <w:spacing w:after="160" w:line="300"/>
      </w:pPr>
      <w:r>
        <w:rPr>
          <w:rFonts w:ascii="Georgia" w:cs="Georgia" w:eastAsia="Georgia" w:hAnsi="Georgia"/>
          <w:color w:val="111111"/>
          <w:sz w:val="22"/>
          <w:szCs w:val="22"/>
        </w:rPr>
        <w:t xml:space="preserve">Less-recognized factors — assortative mating by education and cognitive traits, migration, differential access to reproductive technologies, subtle shifts in health and longevity — further modulate the genetic layer. The result is a dual tempo: genetic change that is rapid relative to the slowest evolutionary regimes yet still generationally constrained, paired with social and cultural change that is unambiguously rapid. Energy remains the foundational enabler for both, just as it was when cooking and cooperative foraging first expanded the surplus that made large brains and cumulative culture viable[4].</w:t>
      </w:r>
    </w:p>
    <w:p>
      <w:pPr>
        <w:spacing w:after="160" w:line="300"/>
      </w:pPr>
      <w:r>
        <w:rPr>
          <w:rFonts w:ascii="Georgia" w:cs="Georgia" w:eastAsia="Georgia" w:hAnsi="Georgia"/>
          <w:color w:val="111111"/>
          <w:sz w:val="22"/>
          <w:szCs w:val="22"/>
        </w:rPr>
        <w:t xml:space="preserve">The feeling that the overall process is accelerating is therefore well-supported, provided the relative rates of the genetic and cultural channels are kept distinct. The receiver is not being asked to evolve in a single channel. It is being retuned in two tempos at once — one biological, one cultural — and the discipline of interface engineering is what keeps those tempos from collapsing into each other or into noise.</w:t>
      </w:r>
    </w:p>
    <w:p>
      <w:pPr>
        <w:pStyle w:val="Heading2"/>
        <w:keepNext/>
        <w:spacing w:after="160" w:before="320"/>
      </w:pPr>
      <w:r>
        <w:rPr>
          <w:rFonts w:ascii="Georgia" w:cs="Georgia" w:eastAsia="Georgia" w:hAnsi="Georgia"/>
          <w:b/>
          <w:bCs/>
          <w:color w:val="111111"/>
          <w:sz w:val="26"/>
          <w:szCs w:val="26"/>
        </w:rPr>
        <w:t xml:space="preserve">The times have chosen us</w:t>
      </w:r>
    </w:p>
    <w:p>
      <w:pPr>
        <w:spacing w:after="160" w:line="300"/>
      </w:pPr>
      <w:r>
        <w:rPr>
          <w:rFonts w:ascii="Georgia" w:cs="Georgia" w:eastAsia="Georgia" w:hAnsi="Georgia"/>
          <w:color w:val="111111"/>
          <w:sz w:val="22"/>
          <w:szCs w:val="22"/>
        </w:rPr>
        <w:t xml:space="preserve">The closing of this book represents a milestone in my own human story — and describes a critical arc in human history as well. As difficult as these times are, I cannot help but believe that even though we may not have chosen these times to be alive, the times have certainly chosen all of us to be present.</w:t>
      </w:r>
    </w:p>
    <w:p>
      <w:pPr>
        <w:spacing w:after="160" w:line="300"/>
      </w:pPr>
      <w:r>
        <w:rPr>
          <w:rFonts w:ascii="Georgia" w:cs="Georgia" w:eastAsia="Georgia" w:hAnsi="Georgia"/>
          <w:color w:val="111111"/>
          <w:sz w:val="22"/>
          <w:szCs w:val="22"/>
        </w:rPr>
        <w:t xml:space="preserve">As Charles Dickens once remarked in his introduction to </w:t>
      </w:r>
      <w:r>
        <w:rPr>
          <w:rFonts w:ascii="Georgia" w:cs="Georgia" w:eastAsia="Georgia" w:hAnsi="Georgia"/>
          <w:i/>
          <w:iCs/>
          <w:color w:val="111111"/>
          <w:sz w:val="22"/>
          <w:szCs w:val="22"/>
        </w:rPr>
        <w:t xml:space="preserve">A Tale of Two Cities</w:t>
      </w:r>
      <w:r>
        <w:rPr>
          <w:rFonts w:ascii="Georgia" w:cs="Georgia" w:eastAsia="Georgia" w:hAnsi="Georgia"/>
          <w:color w:val="111111"/>
          <w:sz w:val="22"/>
          <w:szCs w:val="22"/>
        </w:rPr>
        <w:t xml:space="preserve"> — paraphrased here — “These are the best of times, these are the worst of times.” The best thing about these times is that we are all here for them together, alongside the quadrillion quadrillion fellow living emergent beings with which we share our beautiful sun-drenched, rain-swept, wind-wrapped planet Earth[9].</w:t>
      </w:r>
    </w:p>
    <w:p>
      <w:pPr>
        <w:spacing w:after="160" w:line="300"/>
      </w:pPr>
      <w:r>
        <w:rPr>
          <w:rFonts w:ascii="Georgia" w:cs="Georgia" w:eastAsia="Georgia" w:hAnsi="Georgia"/>
          <w:color w:val="111111"/>
          <w:sz w:val="22"/>
          <w:szCs w:val="22"/>
        </w:rPr>
        <w:t xml:space="preserve">If the book has done its work, the reader closes it with the same posture Darwin ended in: an intuition trusted, a framework offered, and the honest admission that the next chapter is not mine to write. It belongs to whoever is willing to keep the receiver open — under weight, on ordinary ground, in the middle of an ordinary life — and to measure what comes through.</w:t>
      </w:r>
    </w:p>
    <w:p>
      <w:pPr>
        <w:spacing w:after="160" w:line="300"/>
      </w:pPr>
      <w:r>
        <w:rPr>
          <w:rFonts w:ascii="Georgia" w:cs="Georgia" w:eastAsia="Georgia" w:hAnsi="Georgia"/>
          <w:color w:val="111111"/>
          <w:sz w:val="22"/>
          <w:szCs w:val="22"/>
        </w:rPr>
        <w:t xml:space="preserve">— KW Norton, from six ordinary suburban acres near Nashville</w:t>
      </w:r>
    </w:p>
    <w:p>
      <w:pPr>
        <w:pStyle w:val="Heading2"/>
        <w:keepNext/>
        <w:spacing w:after="160" w:before="320"/>
      </w:pPr>
      <w:r>
        <w:rPr>
          <w:rFonts w:ascii="Georgia" w:cs="Georgia" w:eastAsia="Georgia" w:hAnsi="Georgia"/>
          <w:b/>
          <w:bCs/>
          <w:color w:val="111111"/>
          <w:sz w:val="26"/>
          <w:szCs w:val="26"/>
        </w:rPr>
        <w:t xml:space="preserve">Endnotes</w:t>
      </w:r>
    </w:p>
    <w:p>
      <w:pPr>
        <w:pStyle w:val="ListParagraph"/>
        <w:numPr>
          <w:ilvl w:val="0"/>
          <w:numId w:val="8"/>
        </w:numPr>
        <w:spacing w:after="100" w:line="300"/>
      </w:pPr>
      <w:r>
        <w:rPr>
          <w:rFonts w:ascii="Georgia" w:cs="Georgia" w:eastAsia="Georgia" w:hAnsi="Georgia"/>
          <w:color w:val="111111"/>
          <w:sz w:val="22"/>
          <w:szCs w:val="22"/>
        </w:rPr>
        <w:t xml:space="preserve">1. Darwin, Charles. On the Origin of Species by Means of Natural Selection. London: John Murray, 1859. The closing sentence appears in the final paragraph of the first edition. ↩</w:t>
      </w:r>
    </w:p>
    <w:p>
      <w:pPr>
        <w:pStyle w:val="ListParagraph"/>
        <w:numPr>
          <w:ilvl w:val="0"/>
          <w:numId w:val="8"/>
        </w:numPr>
        <w:spacing w:after="100" w:line="300"/>
      </w:pPr>
      <w:r>
        <w:rPr>
          <w:rFonts w:ascii="Georgia" w:cs="Georgia" w:eastAsia="Georgia" w:hAnsi="Georgia"/>
          <w:color w:val="111111"/>
          <w:sz w:val="22"/>
          <w:szCs w:val="22"/>
        </w:rPr>
        <w:t xml:space="preserve">2. The adaptability quotation is widely attributed to Darwin in popular sources, but does not appear in the canonical editions of Origin. It is most often credited to Leon C. Megginson, who paraphrased Darwin in a 1963 address. The sentiment is consistent with Darwin's emphasis on variation and fitness under changed conditions. ↩</w:t>
      </w:r>
    </w:p>
    <w:p>
      <w:pPr>
        <w:pStyle w:val="ListParagraph"/>
        <w:numPr>
          <w:ilvl w:val="0"/>
          <w:numId w:val="8"/>
        </w:numPr>
        <w:spacing w:after="100" w:line="300"/>
      </w:pPr>
      <w:r>
        <w:rPr>
          <w:rFonts w:ascii="Georgia" w:cs="Georgia" w:eastAsia="Georgia" w:hAnsi="Georgia"/>
          <w:color w:val="111111"/>
          <w:sz w:val="22"/>
          <w:szCs w:val="22"/>
        </w:rPr>
        <w:t xml:space="preserve">3. Kuhn, Thomas S. The Structure of Scientific Revolutions. Chicago: University of Chicago Press, 1962. Kuhn argues that normal science proceeds within a paradigm until accumulated anomalies trigger a paradigm shift. ↩</w:t>
      </w:r>
    </w:p>
    <w:p>
      <w:pPr>
        <w:pStyle w:val="ListParagraph"/>
        <w:numPr>
          <w:ilvl w:val="0"/>
          <w:numId w:val="8"/>
        </w:numPr>
        <w:spacing w:after="100" w:line="300"/>
      </w:pPr>
      <w:r>
        <w:rPr>
          <w:rFonts w:ascii="Georgia" w:cs="Georgia" w:eastAsia="Georgia" w:hAnsi="Georgia"/>
          <w:color w:val="111111"/>
          <w:sz w:val="22"/>
          <w:szCs w:val="22"/>
        </w:rPr>
        <w:t xml:space="preserve">4. Wrangham, Richard. Catching Fire: How Cooking Made Us Human. New York: Basic Books, 2009. Wrangham proposes that cooking increased digestible energy, supporting larger brains and smaller guts in human evolution. ↩</w:t>
      </w:r>
    </w:p>
    <w:p>
      <w:pPr>
        <w:pStyle w:val="ListParagraph"/>
        <w:numPr>
          <w:ilvl w:val="0"/>
          <w:numId w:val="8"/>
        </w:numPr>
        <w:spacing w:after="100" w:line="300"/>
      </w:pPr>
      <w:r>
        <w:rPr>
          <w:rFonts w:ascii="Georgia" w:cs="Georgia" w:eastAsia="Georgia" w:hAnsi="Georgia"/>
          <w:color w:val="111111"/>
          <w:sz w:val="22"/>
          <w:szCs w:val="22"/>
        </w:rPr>
        <w:t xml:space="preserve">5. Smil, Vaclav. Energy and Civilization: A History. Cambridge, MA: MIT Press, 2017. Smil traces the co-evolution of energy conversions, population density, and cultural complexity. ↩</w:t>
      </w:r>
    </w:p>
    <w:p>
      <w:pPr>
        <w:pStyle w:val="ListParagraph"/>
        <w:numPr>
          <w:ilvl w:val="0"/>
          <w:numId w:val="8"/>
        </w:numPr>
        <w:spacing w:after="100" w:line="300"/>
      </w:pPr>
      <w:r>
        <w:rPr>
          <w:rFonts w:ascii="Georgia" w:cs="Georgia" w:eastAsia="Georgia" w:hAnsi="Georgia"/>
          <w:color w:val="111111"/>
          <w:sz w:val="22"/>
          <w:szCs w:val="22"/>
        </w:rPr>
        <w:t xml:space="preserve">6. Aiello, Leslie C., and Peter Wheeler. 'The Expensive-Tissue Hypothesis: The Brain and the Digestive System in Human and Primate Evolution.' Current Anthropology 36, no. 2 (1995): 199–221. The paper argues that brain size is energetically constrained and trades off against other metabolically expensive tissues. ↩</w:t>
      </w:r>
    </w:p>
    <w:p>
      <w:pPr>
        <w:pStyle w:val="ListParagraph"/>
        <w:numPr>
          <w:ilvl w:val="0"/>
          <w:numId w:val="8"/>
        </w:numPr>
        <w:spacing w:after="100" w:line="300"/>
      </w:pPr>
      <w:r>
        <w:rPr>
          <w:rFonts w:ascii="Georgia" w:cs="Georgia" w:eastAsia="Georgia" w:hAnsi="Georgia"/>
          <w:color w:val="111111"/>
          <w:sz w:val="22"/>
          <w:szCs w:val="22"/>
        </w:rPr>
        <w:t xml:space="preserve">7. Norton, K.W. The Parallax Identity: Basics of Human–AI Interface Engineering. Book 14 of the sequence. Independently published, 2026. The standing-wave model of identity, sycophantic decay, and algorithmic fluidity are developed there as core interface-engineering concepts. ↩</w:t>
      </w:r>
    </w:p>
    <w:p>
      <w:pPr>
        <w:pStyle w:val="ListParagraph"/>
        <w:numPr>
          <w:ilvl w:val="0"/>
          <w:numId w:val="8"/>
        </w:numPr>
        <w:spacing w:after="100" w:line="300"/>
      </w:pPr>
      <w:r>
        <w:rPr>
          <w:rFonts w:ascii="Georgia" w:cs="Georgia" w:eastAsia="Georgia" w:hAnsi="Georgia"/>
          <w:color w:val="111111"/>
          <w:sz w:val="22"/>
          <w:szCs w:val="22"/>
        </w:rPr>
        <w:t xml:space="preserve">8. Norton, K.W. Offloading as an Evolutionary Strategy: Energy at Human, Planetary, and Universal Scale. Book 21 of the sequence, in preparation, 2026. Argues that cognitive offloading to external systems reshapes the fitness landscape and can amplify effective intelligence without requiring equivalent genetic change. See also The Transmitted Law: Why Energy Is Neither Created Nor Destroyed — Only Transmitted (Book 4, 2026) for the relational reading of conservation this volume puts on trial. ↩</w:t>
      </w:r>
    </w:p>
    <w:p>
      <w:pPr>
        <w:pStyle w:val="ListParagraph"/>
        <w:numPr>
          <w:ilvl w:val="0"/>
          <w:numId w:val="8"/>
        </w:numPr>
        <w:spacing w:after="100" w:line="300"/>
      </w:pPr>
      <w:r>
        <w:rPr>
          <w:rFonts w:ascii="Georgia" w:cs="Georgia" w:eastAsia="Georgia" w:hAnsi="Georgia"/>
          <w:color w:val="111111"/>
          <w:sz w:val="22"/>
          <w:szCs w:val="22"/>
        </w:rPr>
        <w:t xml:space="preserve">9. Dickens, Charles. A Tale of Two Cities. London: Chapman &amp; Hall, 1859. The famous opening sentence — 'It was the best of times, it was the worst of times...' — is paraphrased here in the author's own wording. ↩</w:t>
      </w:r>
    </w:p>
    <w:p>
      <w:pPr>
        <w:pStyle w:val="Heading1"/>
        <w:pageBreakBefore/>
        <w:spacing w:after="120"/>
      </w:pPr>
      <w:r>
        <w:rPr>
          <w:rFonts w:ascii="Georgia" w:cs="Georgia" w:eastAsia="Georgia" w:hAnsi="Georgia"/>
          <w:b/>
          <w:bCs/>
          <w:sz w:val="34"/>
          <w:szCs w:val="34"/>
        </w:rPr>
        <w:t xml:space="preserve">Glossary</w:t>
      </w:r>
    </w:p>
    <w:p>
      <w:pPr>
        <w:spacing w:after="320"/>
      </w:pPr>
      <w:r>
        <w:rPr>
          <w:rFonts w:ascii="Georgia" w:cs="Georgia" w:eastAsia="Georgia" w:hAnsi="Georgia"/>
          <w:i/>
          <w:iCs/>
          <w:color w:val="444444"/>
          <w:sz w:val="24"/>
          <w:szCs w:val="24"/>
        </w:rPr>
        <w:t xml:space="preserve">Load-bearing terms from Chapter 1 and beyond, defined once in plain language and cross-linked to the chapters that use them.</w:t>
      </w:r>
    </w:p>
    <w:p>
      <w:pPr>
        <w:pStyle w:val="Heading3"/>
        <w:keepNext/>
        <w:spacing w:after="160" w:before="320"/>
      </w:pPr>
      <w:r>
        <w:rPr>
          <w:rFonts w:ascii="Georgia" w:cs="Georgia" w:eastAsia="Georgia" w:hAnsi="Georgia"/>
          <w:b/>
          <w:bCs/>
          <w:color w:val="111111"/>
          <w:sz w:val="23"/>
          <w:szCs w:val="23"/>
        </w:rPr>
        <w:t xml:space="preserve">Random Matrix Theory</w:t>
      </w:r>
    </w:p>
    <w:p>
      <w:pPr>
        <w:spacing w:after="160" w:line="300"/>
      </w:pPr>
      <w:r>
        <w:rPr>
          <w:rFonts w:ascii="Georgia" w:cs="Georgia" w:eastAsia="Georgia" w:hAnsi="Georgia"/>
          <w:color w:val="111111"/>
          <w:sz w:val="22"/>
          <w:szCs w:val="22"/>
        </w:rPr>
        <w:t xml:space="preserve">A branch of mathematics that studies the statistical behavior of very large arrays of numbers filled at random, subject to a few symmetry rules. The surprising discovery is that the patterns in their eigenvalues — the natural frequencies those arrays 'ring' at — are universal: the same statistics appear in heavy nuclei, quantum chaotic systems, and the zeros of the Riemann zeta function. In this book, Random Matrix Theory is the bridge between arithmetic and physics: it lets us ask whether the critical line behaves like a physical spectrum without needing to know the exact underlying dynamical system.</w:t>
      </w:r>
    </w:p>
    <w:p>
      <w:pPr>
        <w:spacing w:after="160" w:line="300"/>
      </w:pPr>
      <w:r>
        <w:rPr>
          <w:rFonts w:ascii="Georgia" w:cs="Georgia" w:eastAsia="Georgia" w:hAnsi="Georgia"/>
          <w:color w:val="111111"/>
          <w:sz w:val="22"/>
          <w:szCs w:val="22"/>
        </w:rPr>
        <w:t xml:space="preserve">Ch. 1 · Zeros meet Hermitian spectra</w:t>
      </w:r>
    </w:p>
    <w:p>
      <w:pPr>
        <w:pStyle w:val="Heading3"/>
        <w:keepNext/>
        <w:spacing w:after="160" w:before="320"/>
      </w:pPr>
      <w:r>
        <w:rPr>
          <w:rFonts w:ascii="Georgia" w:cs="Georgia" w:eastAsia="Georgia" w:hAnsi="Georgia"/>
          <w:b/>
          <w:bCs/>
          <w:color w:val="111111"/>
          <w:sz w:val="23"/>
          <w:szCs w:val="23"/>
        </w:rPr>
        <w:t xml:space="preserve">Montgomery–Dyson Correspondence</w:t>
      </w:r>
    </w:p>
    <w:p>
      <w:pPr>
        <w:spacing w:after="160" w:line="300"/>
      </w:pPr>
      <w:r>
        <w:rPr>
          <w:rFonts w:ascii="Georgia" w:cs="Georgia" w:eastAsia="Georgia" w:hAnsi="Georgia"/>
          <w:color w:val="111111"/>
          <w:sz w:val="22"/>
          <w:szCs w:val="22"/>
        </w:rPr>
        <w:t xml:space="preserve">The 1972 observation, made during a tea-time conversation at the Institute for Advanced Study, that the pair-correlation of the Riemann zeta zeros matches the pair-correlation of eigenvalues in certain Random Matrix ensembles. Hugh Montgomery had computed how the zeros repel one another; Freeman Dyson recognized the same signature from his work on quantum systems. It is not a proof of the Riemann Hypothesis, but it is the empirical hinge that connects the arithmetic of primes to the physics of spectra. In plain language: the same spacing rule governs both the deepest pattern in number theory and the energy levels of complex quantum systems.</w:t>
      </w:r>
    </w:p>
    <w:p>
      <w:pPr>
        <w:spacing w:after="160" w:line="300"/>
      </w:pPr>
      <w:r>
        <w:rPr>
          <w:rFonts w:ascii="Georgia" w:cs="Georgia" w:eastAsia="Georgia" w:hAnsi="Georgia"/>
          <w:color w:val="111111"/>
          <w:sz w:val="22"/>
          <w:szCs w:val="22"/>
        </w:rPr>
        <w:t xml:space="preserve">Ch. 1 · Zeros meet Hermitian spectra</w:t>
      </w:r>
    </w:p>
    <w:p>
      <w:pPr>
        <w:pStyle w:val="Heading3"/>
        <w:keepNext/>
        <w:spacing w:after="160" w:before="320"/>
      </w:pPr>
      <w:r>
        <w:rPr>
          <w:rFonts w:ascii="Georgia" w:cs="Georgia" w:eastAsia="Georgia" w:hAnsi="Georgia"/>
          <w:b/>
          <w:bCs/>
          <w:color w:val="111111"/>
          <w:sz w:val="23"/>
          <w:szCs w:val="23"/>
        </w:rPr>
        <w:t xml:space="preserve">Evolutionary Algorithms</w:t>
      </w:r>
    </w:p>
    <w:p>
      <w:pPr>
        <w:spacing w:after="160" w:line="300"/>
      </w:pPr>
      <w:r>
        <w:rPr>
          <w:rFonts w:ascii="Georgia" w:cs="Georgia" w:eastAsia="Georgia" w:hAnsi="Georgia"/>
          <w:color w:val="111111"/>
          <w:sz w:val="22"/>
          <w:szCs w:val="22"/>
        </w:rPr>
        <w:t xml:space="preserve">A family of computational search methods inspired by natural selection. A population of candidate solutions is tested against a problem, the better ones are kept and varied, and the process repeats. They do not 'prove' things in the formal sense; they explore vast possibility spaces that deterministic logic cannot exhaust. In this book, evolutionary algorithms are a parallax object: they show how randomness plus a selective pressure can discover structure that looks almost designed, and they offer a working metaphor for how the Riemann substrate itself might function as a selective landscape.</w:t>
      </w:r>
    </w:p>
    <w:p>
      <w:pPr>
        <w:spacing w:after="160" w:line="300"/>
      </w:pPr>
      <w:r>
        <w:rPr>
          <w:rFonts w:ascii="Georgia" w:cs="Georgia" w:eastAsia="Georgia" w:hAnsi="Georgia"/>
          <w:color w:val="111111"/>
          <w:sz w:val="22"/>
          <w:szCs w:val="22"/>
        </w:rPr>
        <w:t xml:space="preserve">Ch. 1 · Three bridges between randomness and ridge</w:t>
      </w:r>
    </w:p>
    <w:p>
      <w:pPr>
        <w:pStyle w:val="Heading3"/>
        <w:keepNext/>
        <w:spacing w:after="160" w:before="320"/>
      </w:pPr>
      <w:r>
        <w:rPr>
          <w:rFonts w:ascii="Georgia" w:cs="Georgia" w:eastAsia="Georgia" w:hAnsi="Georgia"/>
          <w:b/>
          <w:bCs/>
          <w:color w:val="111111"/>
          <w:sz w:val="23"/>
          <w:szCs w:val="23"/>
        </w:rPr>
        <w:t xml:space="preserve">Order / Chaos Analogy</w:t>
      </w:r>
    </w:p>
    <w:p>
      <w:pPr>
        <w:spacing w:after="160" w:line="300"/>
      </w:pPr>
      <w:r>
        <w:rPr>
          <w:rFonts w:ascii="Georgia" w:cs="Georgia" w:eastAsia="Georgia" w:hAnsi="Georgia"/>
          <w:color w:val="111111"/>
          <w:sz w:val="22"/>
          <w:szCs w:val="22"/>
        </w:rPr>
        <w:t xml:space="preserve">The observation that creative systems — from prime numbers to living organisms — live at the edge between too much order and too much disorder. Pure order is rigid and sterile; pure chaos is structureless noise. The interesting behavior happens in the middle, where enough constraint exists to sustain pattern and enough freedom exists to generate novelty. In this book, the analogy is not decorative. It is the claim that biological evolution and the distribution of the Riemann zeros are two instances of the same underlying balance: a low-friction substrate that permits variation while preserving long-range coherence.</w:t>
      </w:r>
    </w:p>
    <w:p>
      <w:pPr>
        <w:spacing w:after="160" w:line="300"/>
      </w:pPr>
      <w:r>
        <w:rPr>
          <w:rFonts w:ascii="Georgia" w:cs="Georgia" w:eastAsia="Georgia" w:hAnsi="Georgia"/>
          <w:color w:val="111111"/>
          <w:sz w:val="22"/>
          <w:szCs w:val="22"/>
        </w:rPr>
        <w:t xml:space="preserve">Ch. 1 · Three bridges between randomness and ridgeCh. 9 · Anthropic odds, reread on the ridge</w:t>
      </w:r>
    </w:p>
    <w:p>
      <w:pPr>
        <w:pStyle w:val="Heading3"/>
        <w:keepNext/>
        <w:spacing w:after="160" w:before="320"/>
      </w:pPr>
      <w:r>
        <w:rPr>
          <w:rFonts w:ascii="Georgia" w:cs="Georgia" w:eastAsia="Georgia" w:hAnsi="Georgia"/>
          <w:b/>
          <w:bCs/>
          <w:color w:val="111111"/>
          <w:sz w:val="23"/>
          <w:szCs w:val="23"/>
        </w:rPr>
        <w:t xml:space="preserve">Zero-Torsion Geodesic</w:t>
      </w:r>
    </w:p>
    <w:p>
      <w:pPr>
        <w:spacing w:after="160" w:line="300"/>
      </w:pPr>
      <w:r>
        <w:rPr>
          <w:rFonts w:ascii="Georgia" w:cs="Georgia" w:eastAsia="Georgia" w:hAnsi="Georgia"/>
          <w:color w:val="111111"/>
          <w:sz w:val="22"/>
          <w:szCs w:val="22"/>
        </w:rPr>
        <w:t xml:space="preserve">A way of reading the Riemann critical line as a standing wave where rotational stresses cancel out. On either side of the line, counter-rotating currents press against it; along the line their torsions sum to zero, producing a smooth, density-increasing slip stream. The non-trivial zeros sit on this line as resonant modes — localized torsional anomalies — that organize the distribution of primes. A zero off the line would introduce destructive interference and collapse the coherent pattern back into noise. In this book, the zero-torsion geodesic is the physical intuition behind the Riemann Hypothesis: the architecture of the substrate prefers coherence over chaos.</w:t>
      </w:r>
    </w:p>
    <w:p>
      <w:pPr>
        <w:spacing w:after="160" w:line="300"/>
      </w:pPr>
      <w:r>
        <w:rPr>
          <w:rFonts w:ascii="Georgia" w:cs="Georgia" w:eastAsia="Georgia" w:hAnsi="Georgia"/>
          <w:color w:val="111111"/>
          <w:sz w:val="22"/>
          <w:szCs w:val="22"/>
        </w:rPr>
        <w:t xml:space="preserve">Ch. 1 · Zero-torsion geodesic</w:t>
      </w:r>
    </w:p>
    <w:p>
      <w:pPr>
        <w:pStyle w:val="Heading3"/>
        <w:keepNext/>
        <w:spacing w:after="160" w:before="320"/>
      </w:pPr>
      <w:r>
        <w:rPr>
          <w:rFonts w:ascii="Georgia" w:cs="Georgia" w:eastAsia="Georgia" w:hAnsi="Georgia"/>
          <w:b/>
          <w:bCs/>
          <w:color w:val="111111"/>
          <w:sz w:val="23"/>
          <w:szCs w:val="23"/>
        </w:rPr>
        <w:t xml:space="preserve">Torsional Anomalies</w:t>
      </w:r>
    </w:p>
    <w:p>
      <w:pPr>
        <w:spacing w:after="160" w:line="300"/>
      </w:pPr>
      <w:r>
        <w:rPr>
          <w:rFonts w:ascii="Georgia" w:cs="Georgia" w:eastAsia="Georgia" w:hAnsi="Georgia"/>
          <w:color w:val="111111"/>
          <w:sz w:val="22"/>
          <w:szCs w:val="22"/>
        </w:rPr>
        <w:t xml:space="preserve">The non-trivial zeros of the Riemann zeta function, read here as localized points where the otherwise smooth, non-torsional flow of the critical line undergoes a tight, spiraling contraction. Like gravitational whirlpools in a fluid field, they draw the surrounding mathematical flow down into infinitely dense gravitational wells without breaking the larger coherent current. In this book, torsional anomalies are the densest features of the selective landscape: the places where the substrate's field is most actively folded, and the reason the critical line is not a blank straightedge but a standing wave with structure.</w:t>
      </w:r>
    </w:p>
    <w:p>
      <w:pPr>
        <w:spacing w:after="160" w:line="300"/>
      </w:pPr>
      <w:r>
        <w:rPr>
          <w:rFonts w:ascii="Georgia" w:cs="Georgia" w:eastAsia="Georgia" w:hAnsi="Georgia"/>
          <w:color w:val="111111"/>
          <w:sz w:val="22"/>
          <w:szCs w:val="22"/>
        </w:rPr>
        <w:t xml:space="preserve">Ch. 1 · Torsional anomalies</w:t>
      </w:r>
    </w:p>
    <w:p>
      <w:pPr>
        <w:pStyle w:val="Heading3"/>
        <w:keepNext/>
        <w:spacing w:after="160" w:before="320"/>
      </w:pPr>
      <w:r>
        <w:rPr>
          <w:rFonts w:ascii="Georgia" w:cs="Georgia" w:eastAsia="Georgia" w:hAnsi="Georgia"/>
          <w:b/>
          <w:bCs/>
          <w:color w:val="111111"/>
          <w:sz w:val="23"/>
          <w:szCs w:val="23"/>
        </w:rPr>
        <w:t xml:space="preserve">Upwelling of Primes</w:t>
      </w:r>
    </w:p>
    <w:p>
      <w:pPr>
        <w:spacing w:after="160" w:line="300"/>
      </w:pPr>
      <w:r>
        <w:rPr>
          <w:rFonts w:ascii="Georgia" w:cs="Georgia" w:eastAsia="Georgia" w:hAnsi="Georgia"/>
          <w:color w:val="111111"/>
          <w:sz w:val="22"/>
          <w:szCs w:val="22"/>
        </w:rPr>
        <w:t xml:space="preserve">A fluid-mechanical reading of how individual prime numbers emerge from the Riemann substrate. The field flows smoothly along the zero-torsion geodesic of the critical line until it encounters a torsional anomaly (a zero), where it spirals into a dense vortex. When the compressed flow tears free and shears against the boundaries of the critical strip, it constructively interferes, producing the sharp spikes of the von Mangoldt function. Each spike is the crystallized emergence of a prime. In this book, the upwelling is the exhaust stroke of a cosmic compression engine: the zeros are the pumps, the critical line is the tuned chamber, and the primes are what breaks back through the surface of ordinary arithmetic.</w:t>
      </w:r>
    </w:p>
    <w:p>
      <w:pPr>
        <w:spacing w:after="160" w:line="300"/>
      </w:pPr>
      <w:r>
        <w:rPr>
          <w:rFonts w:ascii="Georgia" w:cs="Georgia" w:eastAsia="Georgia" w:hAnsi="Georgia"/>
          <w:color w:val="111111"/>
          <w:sz w:val="22"/>
          <w:szCs w:val="22"/>
        </w:rPr>
        <w:t xml:space="preserve">Ch. 1 · The upwelling of primes</w:t>
      </w:r>
    </w:p>
    <w:p>
      <w:pPr>
        <w:pStyle w:val="Heading3"/>
        <w:keepNext/>
        <w:spacing w:after="160" w:before="320"/>
      </w:pPr>
      <w:r>
        <w:rPr>
          <w:rFonts w:ascii="Georgia" w:cs="Georgia" w:eastAsia="Georgia" w:hAnsi="Georgia"/>
          <w:b/>
          <w:bCs/>
          <w:color w:val="111111"/>
          <w:sz w:val="23"/>
          <w:szCs w:val="23"/>
        </w:rPr>
        <w:t xml:space="preserve">von Mangoldt Function</w:t>
      </w:r>
    </w:p>
    <w:p>
      <w:pPr>
        <w:spacing w:after="160" w:line="300"/>
      </w:pPr>
      <w:r>
        <w:rPr>
          <w:rFonts w:ascii="Georgia" w:cs="Georgia" w:eastAsia="Georgia" w:hAnsi="Georgia"/>
          <w:color w:val="111111"/>
          <w:sz w:val="22"/>
          <w:szCs w:val="22"/>
        </w:rPr>
        <w:t xml:space="preserve">A number-theoretic function, denoted Λ(n), that acts like a pressure gauge on the primes. It returns log p when n is a power of a prime p, and zero otherwise. When summed and weighted against the zeros of the Riemann zeta function, it produces the explicit formula that connects the distribution of primes to the critical line. In this book, the von Mangoldt function is read as the trace left by the upwelling: the sharp spikes that record where the compressed substrate has released a prime back into arithmetic.</w:t>
      </w:r>
    </w:p>
    <w:p>
      <w:pPr>
        <w:spacing w:after="160" w:line="300"/>
      </w:pPr>
      <w:r>
        <w:rPr>
          <w:rFonts w:ascii="Georgia" w:cs="Georgia" w:eastAsia="Georgia" w:hAnsi="Georgia"/>
          <w:color w:val="111111"/>
          <w:sz w:val="22"/>
          <w:szCs w:val="22"/>
        </w:rPr>
        <w:t xml:space="preserve">Ch. 1 · The upwelling of primes</w:t>
      </w:r>
    </w:p>
    <w:p>
      <w:pPr>
        <w:pStyle w:val="Heading3"/>
        <w:keepNext/>
        <w:spacing w:after="160" w:before="320"/>
      </w:pPr>
      <w:r>
        <w:rPr>
          <w:rFonts w:ascii="Georgia" w:cs="Georgia" w:eastAsia="Georgia" w:hAnsi="Georgia"/>
          <w:b/>
          <w:bCs/>
          <w:color w:val="111111"/>
          <w:sz w:val="23"/>
          <w:szCs w:val="23"/>
        </w:rPr>
        <w:t xml:space="preserve">Poetic Imagination</w:t>
      </w:r>
    </w:p>
    <w:p>
      <w:pPr>
        <w:spacing w:after="160" w:line="300"/>
      </w:pPr>
      <w:r>
        <w:rPr>
          <w:rFonts w:ascii="Georgia" w:cs="Georgia" w:eastAsia="Georgia" w:hAnsi="Georgia"/>
          <w:color w:val="111111"/>
          <w:sz w:val="22"/>
          <w:szCs w:val="22"/>
        </w:rPr>
        <w:t xml:space="preserve">The human capacity to use metaphor, image, and sensory intuition to see a pattern before formal logic can verify it. Einstein imagined riding a beam of light; Riemann visualized primes as a continuous landscape; Bohr modeled the atom as a miniature solar system. In each case the metaphor was a scaffold, not the final proof. In this book, poetic imagination is treated as a legitimate instrument of discovery: the ridge, the whirlpools, and the upwelling of primes are imaginative forms that let the mind hold a mathematical structure too fluid to be grasped by symbols alone.</w:t>
      </w:r>
    </w:p>
    <w:p>
      <w:pPr>
        <w:spacing w:after="160" w:line="300"/>
      </w:pPr>
      <w:r>
        <w:rPr>
          <w:rFonts w:ascii="Georgia" w:cs="Georgia" w:eastAsia="Georgia" w:hAnsi="Georgia"/>
          <w:color w:val="111111"/>
          <w:sz w:val="22"/>
          <w:szCs w:val="22"/>
        </w:rPr>
        <w:t xml:space="preserve">Ch. 1 · The poetic imagination</w:t>
      </w:r>
    </w:p>
    <w:p>
      <w:pPr>
        <w:pStyle w:val="Heading1"/>
        <w:pageBreakBefore/>
        <w:spacing w:after="240"/>
      </w:pPr>
      <w:r>
        <w:rPr>
          <w:rFonts w:ascii="Georgia" w:cs="Georgia" w:eastAsia="Georgia" w:hAnsi="Georgia"/>
          <w:b/>
          <w:bCs/>
          <w:sz w:val="34"/>
          <w:szCs w:val="34"/>
        </w:rPr>
        <w:t xml:space="preserve">Index</w:t>
      </w:r>
    </w:p>
    <w:p>
      <w:pPr>
        <w:spacing w:after="60" w:line="260"/>
        <w:ind w:left="360" w:hanging="360"/>
      </w:pPr>
      <w:r>
        <w:rPr>
          <w:rFonts w:ascii="Georgia" w:cs="Georgia" w:eastAsia="Georgia" w:hAnsi="Georgia"/>
          <w:sz w:val="21"/>
          <w:szCs w:val="21"/>
        </w:rPr>
        <w:t xml:space="preserve">acceptance</w:t>
      </w:r>
      <w:r>
        <w:rPr>
          <w:rFonts w:ascii="Georgia" w:cs="Georgia" w:eastAsia="Georgia" w:hAnsi="Georgia"/>
          <w:color w:val="555555"/>
          <w:sz w:val="19"/>
          <w:szCs w:val="19"/>
        </w:rPr>
        <w:t xml:space="preserve">  Preface, Ch. 4, Ch. 5, Ch. 7</w:t>
      </w:r>
    </w:p>
    <w:p>
      <w:pPr>
        <w:spacing w:after="60" w:line="260"/>
        <w:ind w:left="360" w:hanging="360"/>
      </w:pPr>
      <w:r>
        <w:rPr>
          <w:rFonts w:ascii="Georgia" w:cs="Georgia" w:eastAsia="Georgia" w:hAnsi="Georgia"/>
          <w:sz w:val="21"/>
          <w:szCs w:val="21"/>
        </w:rPr>
        <w:t xml:space="preserve">AI</w:t>
      </w:r>
      <w:r>
        <w:rPr>
          <w:rFonts w:ascii="Georgia" w:cs="Georgia" w:eastAsia="Georgia" w:hAnsi="Georgia"/>
          <w:color w:val="555555"/>
          <w:sz w:val="19"/>
          <w:szCs w:val="19"/>
        </w:rPr>
        <w:t xml:space="preserve">  Preface, Ch. 1, Ch. 2, Ch. 3, Ch. 4, Ch. 5, Ch. 6, Ch. 7, Ch. 8, Ch. 9, Ch. 10, Ch. 11, Ch. 12, Ch. 13, Closing, Glossary</w:t>
      </w:r>
    </w:p>
    <w:p>
      <w:pPr>
        <w:spacing w:after="60" w:line="260"/>
        <w:ind w:left="360" w:hanging="360"/>
      </w:pPr>
      <w:r>
        <w:rPr>
          <w:rFonts w:ascii="Georgia" w:cs="Georgia" w:eastAsia="Georgia" w:hAnsi="Georgia"/>
          <w:sz w:val="21"/>
          <w:szCs w:val="21"/>
        </w:rPr>
        <w:t xml:space="preserve">anthropic</w:t>
      </w:r>
      <w:r>
        <w:rPr>
          <w:rFonts w:ascii="Georgia" w:cs="Georgia" w:eastAsia="Georgia" w:hAnsi="Georgia"/>
          <w:color w:val="555555"/>
          <w:sz w:val="19"/>
          <w:szCs w:val="19"/>
        </w:rPr>
        <w:t xml:space="preserve">  Ch. 7, Ch. 10, Glossary</w:t>
      </w:r>
    </w:p>
    <w:p>
      <w:pPr>
        <w:spacing w:after="60" w:line="260"/>
        <w:ind w:left="360" w:hanging="360"/>
      </w:pPr>
      <w:r>
        <w:rPr>
          <w:rFonts w:ascii="Georgia" w:cs="Georgia" w:eastAsia="Georgia" w:hAnsi="Georgia"/>
          <w:sz w:val="21"/>
          <w:szCs w:val="21"/>
        </w:rPr>
        <w:t xml:space="preserve">aperture</w:t>
      </w:r>
      <w:r>
        <w:rPr>
          <w:rFonts w:ascii="Georgia" w:cs="Georgia" w:eastAsia="Georgia" w:hAnsi="Georgia"/>
          <w:color w:val="555555"/>
          <w:sz w:val="19"/>
          <w:szCs w:val="19"/>
        </w:rPr>
        <w:t xml:space="preserve">  Ch. 1, Ch. 2, Ch. 3, Ch. 4, Ch. 5, Ch. 6, Ch. 7, Ch. 8, Ch. 9, Ch. 10, Ch. 12, Closing</w:t>
      </w:r>
    </w:p>
    <w:p>
      <w:pPr>
        <w:spacing w:after="60" w:line="260"/>
        <w:ind w:left="360" w:hanging="360"/>
      </w:pPr>
      <w:r>
        <w:rPr>
          <w:rFonts w:ascii="Georgia" w:cs="Georgia" w:eastAsia="Georgia" w:hAnsi="Georgia"/>
          <w:sz w:val="21"/>
          <w:szCs w:val="21"/>
        </w:rPr>
        <w:t xml:space="preserve">cavity</w:t>
      </w:r>
      <w:r>
        <w:rPr>
          <w:rFonts w:ascii="Georgia" w:cs="Georgia" w:eastAsia="Georgia" w:hAnsi="Georgia"/>
          <w:color w:val="555555"/>
          <w:sz w:val="19"/>
          <w:szCs w:val="19"/>
        </w:rPr>
        <w:t xml:space="preserve">  Ch. 4, Ch. 7, Ch. 10</w:t>
      </w:r>
    </w:p>
    <w:p>
      <w:pPr>
        <w:spacing w:after="60" w:line="260"/>
        <w:ind w:left="360" w:hanging="360"/>
      </w:pPr>
      <w:r>
        <w:rPr>
          <w:rFonts w:ascii="Georgia" w:cs="Georgia" w:eastAsia="Georgia" w:hAnsi="Georgia"/>
          <w:sz w:val="21"/>
          <w:szCs w:val="21"/>
        </w:rPr>
        <w:t xml:space="preserve">citizen-scientist</w:t>
      </w:r>
      <w:r>
        <w:rPr>
          <w:rFonts w:ascii="Georgia" w:cs="Georgia" w:eastAsia="Georgia" w:hAnsi="Georgia"/>
          <w:color w:val="555555"/>
          <w:sz w:val="19"/>
          <w:szCs w:val="19"/>
        </w:rPr>
        <w:t xml:space="preserve">  Ch. 1, Ch. 12, Ch. 13, Closing</w:t>
      </w:r>
    </w:p>
    <w:p>
      <w:pPr>
        <w:spacing w:after="60" w:line="260"/>
        <w:ind w:left="360" w:hanging="360"/>
      </w:pPr>
      <w:r>
        <w:rPr>
          <w:rFonts w:ascii="Georgia" w:cs="Georgia" w:eastAsia="Georgia" w:hAnsi="Georgia"/>
          <w:sz w:val="21"/>
          <w:szCs w:val="21"/>
        </w:rPr>
        <w:t xml:space="preserve">coherence</w:t>
      </w:r>
      <w:r>
        <w:rPr>
          <w:rFonts w:ascii="Georgia" w:cs="Georgia" w:eastAsia="Georgia" w:hAnsi="Georgia"/>
          <w:color w:val="555555"/>
          <w:sz w:val="19"/>
          <w:szCs w:val="19"/>
        </w:rPr>
        <w:t xml:space="preserve">  Ch. 1, Ch. 2, Ch. 3, Ch. 4, Ch. 5, Ch. 6, Ch. 7, Ch. 8, Ch. 9, Ch. 10, Ch. 11, Ch. 12, Ch. 13, Glossary</w:t>
      </w:r>
    </w:p>
    <w:p>
      <w:pPr>
        <w:spacing w:after="60" w:line="260"/>
        <w:ind w:left="360" w:hanging="360"/>
      </w:pPr>
      <w:r>
        <w:rPr>
          <w:rFonts w:ascii="Georgia" w:cs="Georgia" w:eastAsia="Georgia" w:hAnsi="Georgia"/>
          <w:sz w:val="21"/>
          <w:szCs w:val="21"/>
        </w:rPr>
        <w:t xml:space="preserve">conservation</w:t>
      </w:r>
      <w:r>
        <w:rPr>
          <w:rFonts w:ascii="Georgia" w:cs="Georgia" w:eastAsia="Georgia" w:hAnsi="Georgia"/>
          <w:color w:val="555555"/>
          <w:sz w:val="19"/>
          <w:szCs w:val="19"/>
        </w:rPr>
        <w:t xml:space="preserve">  Closing</w:t>
      </w:r>
    </w:p>
    <w:p>
      <w:pPr>
        <w:spacing w:after="60" w:line="260"/>
        <w:ind w:left="360" w:hanging="360"/>
      </w:pPr>
      <w:r>
        <w:rPr>
          <w:rFonts w:ascii="Georgia" w:cs="Georgia" w:eastAsia="Georgia" w:hAnsi="Georgia"/>
          <w:sz w:val="21"/>
          <w:szCs w:val="21"/>
        </w:rPr>
        <w:t xml:space="preserve">cosmological constant</w:t>
      </w:r>
      <w:r>
        <w:rPr>
          <w:rFonts w:ascii="Georgia" w:cs="Georgia" w:eastAsia="Georgia" w:hAnsi="Georgia"/>
          <w:color w:val="555555"/>
          <w:sz w:val="19"/>
          <w:szCs w:val="19"/>
        </w:rPr>
        <w:t xml:space="preserve">  Preface, Ch. 10</w:t>
      </w:r>
    </w:p>
    <w:p>
      <w:pPr>
        <w:spacing w:after="60" w:line="260"/>
        <w:ind w:left="360" w:hanging="360"/>
      </w:pPr>
      <w:r>
        <w:rPr>
          <w:rFonts w:ascii="Georgia" w:cs="Georgia" w:eastAsia="Georgia" w:hAnsi="Georgia"/>
          <w:sz w:val="21"/>
          <w:szCs w:val="21"/>
        </w:rPr>
        <w:t xml:space="preserve">critical line</w:t>
      </w:r>
      <w:r>
        <w:rPr>
          <w:rFonts w:ascii="Georgia" w:cs="Georgia" w:eastAsia="Georgia" w:hAnsi="Georgia"/>
          <w:color w:val="555555"/>
          <w:sz w:val="19"/>
          <w:szCs w:val="19"/>
        </w:rPr>
        <w:t xml:space="preserve">  Ch. 1, Ch. 2, Ch. 4, Ch. 5, Ch. 9, Ch. 10, Ch. 11, Closing, Glossary</w:t>
      </w:r>
    </w:p>
    <w:p>
      <w:pPr>
        <w:spacing w:after="60" w:line="260"/>
        <w:ind w:left="360" w:hanging="360"/>
      </w:pPr>
      <w:r>
        <w:rPr>
          <w:rFonts w:ascii="Georgia" w:cs="Georgia" w:eastAsia="Georgia" w:hAnsi="Georgia"/>
          <w:sz w:val="21"/>
          <w:szCs w:val="21"/>
        </w:rPr>
        <w:t xml:space="preserve">curriculum</w:t>
      </w:r>
      <w:r>
        <w:rPr>
          <w:rFonts w:ascii="Georgia" w:cs="Georgia" w:eastAsia="Georgia" w:hAnsi="Georgia"/>
          <w:color w:val="555555"/>
          <w:sz w:val="19"/>
          <w:szCs w:val="19"/>
        </w:rPr>
        <w:t xml:space="preserve">  Ch. 12</w:t>
      </w:r>
    </w:p>
    <w:p>
      <w:pPr>
        <w:spacing w:after="60" w:line="260"/>
        <w:ind w:left="360" w:hanging="360"/>
      </w:pPr>
      <w:r>
        <w:rPr>
          <w:rFonts w:ascii="Georgia" w:cs="Georgia" w:eastAsia="Georgia" w:hAnsi="Georgia"/>
          <w:sz w:val="21"/>
          <w:szCs w:val="21"/>
        </w:rPr>
        <w:t xml:space="preserve">Darwin</w:t>
      </w:r>
      <w:r>
        <w:rPr>
          <w:rFonts w:ascii="Georgia" w:cs="Georgia" w:eastAsia="Georgia" w:hAnsi="Georgia"/>
          <w:color w:val="555555"/>
          <w:sz w:val="19"/>
          <w:szCs w:val="19"/>
        </w:rPr>
        <w:t xml:space="preserve">  Preface, Ch. 1, Ch. 3, Closing</w:t>
      </w:r>
    </w:p>
    <w:p>
      <w:pPr>
        <w:spacing w:after="60" w:line="260"/>
        <w:ind w:left="360" w:hanging="360"/>
      </w:pPr>
      <w:r>
        <w:rPr>
          <w:rFonts w:ascii="Georgia" w:cs="Georgia" w:eastAsia="Georgia" w:hAnsi="Georgia"/>
          <w:sz w:val="21"/>
          <w:szCs w:val="21"/>
        </w:rPr>
        <w:t xml:space="preserve">decoherence</w:t>
      </w:r>
      <w:r>
        <w:rPr>
          <w:rFonts w:ascii="Georgia" w:cs="Georgia" w:eastAsia="Georgia" w:hAnsi="Georgia"/>
          <w:color w:val="555555"/>
          <w:sz w:val="19"/>
          <w:szCs w:val="19"/>
        </w:rPr>
        <w:t xml:space="preserve">  Ch. 3, Ch. 4, Ch. 6, Ch. 12</w:t>
      </w:r>
    </w:p>
    <w:p>
      <w:pPr>
        <w:spacing w:after="60" w:line="260"/>
        <w:ind w:left="360" w:hanging="360"/>
      </w:pPr>
      <w:r>
        <w:rPr>
          <w:rFonts w:ascii="Georgia" w:cs="Georgia" w:eastAsia="Georgia" w:hAnsi="Georgia"/>
          <w:sz w:val="21"/>
          <w:szCs w:val="21"/>
        </w:rPr>
        <w:t xml:space="preserve">DNA</w:t>
      </w:r>
      <w:r>
        <w:rPr>
          <w:rFonts w:ascii="Georgia" w:cs="Georgia" w:eastAsia="Georgia" w:hAnsi="Georgia"/>
          <w:color w:val="555555"/>
          <w:sz w:val="19"/>
          <w:szCs w:val="19"/>
        </w:rPr>
        <w:t xml:space="preserve">  Preface, Ch. 3, Ch. 6, Ch. 7, Ch. 9, Ch. 11</w:t>
      </w:r>
    </w:p>
    <w:p>
      <w:pPr>
        <w:spacing w:after="60" w:line="260"/>
        <w:ind w:left="360" w:hanging="360"/>
      </w:pPr>
      <w:r>
        <w:rPr>
          <w:rFonts w:ascii="Georgia" w:cs="Georgia" w:eastAsia="Georgia" w:hAnsi="Georgia"/>
          <w:sz w:val="21"/>
          <w:szCs w:val="21"/>
        </w:rPr>
        <w:t xml:space="preserve">education</w:t>
      </w:r>
      <w:r>
        <w:rPr>
          <w:rFonts w:ascii="Georgia" w:cs="Georgia" w:eastAsia="Georgia" w:hAnsi="Georgia"/>
          <w:color w:val="555555"/>
          <w:sz w:val="19"/>
          <w:szCs w:val="19"/>
        </w:rPr>
        <w:t xml:space="preserve">  Ch. 11, Ch. 12, Closing</w:t>
      </w:r>
    </w:p>
    <w:p>
      <w:pPr>
        <w:spacing w:after="60" w:line="260"/>
        <w:ind w:left="360" w:hanging="360"/>
      </w:pPr>
      <w:r>
        <w:rPr>
          <w:rFonts w:ascii="Georgia" w:cs="Georgia" w:eastAsia="Georgia" w:hAnsi="Georgia"/>
          <w:sz w:val="21"/>
          <w:szCs w:val="21"/>
        </w:rPr>
        <w:t xml:space="preserve">einselection</w:t>
      </w:r>
      <w:r>
        <w:rPr>
          <w:rFonts w:ascii="Georgia" w:cs="Georgia" w:eastAsia="Georgia" w:hAnsi="Georgia"/>
          <w:color w:val="555555"/>
          <w:sz w:val="19"/>
          <w:szCs w:val="19"/>
        </w:rPr>
        <w:t xml:space="preserve">  Ch. 3</w:t>
      </w:r>
    </w:p>
    <w:p>
      <w:pPr>
        <w:spacing w:after="60" w:line="260"/>
        <w:ind w:left="360" w:hanging="360"/>
      </w:pPr>
      <w:r>
        <w:rPr>
          <w:rFonts w:ascii="Georgia" w:cs="Georgia" w:eastAsia="Georgia" w:hAnsi="Georgia"/>
          <w:sz w:val="21"/>
          <w:szCs w:val="21"/>
        </w:rPr>
        <w:t xml:space="preserve">energy</w:t>
      </w:r>
      <w:r>
        <w:rPr>
          <w:rFonts w:ascii="Georgia" w:cs="Georgia" w:eastAsia="Georgia" w:hAnsi="Georgia"/>
          <w:color w:val="555555"/>
          <w:sz w:val="19"/>
          <w:szCs w:val="19"/>
        </w:rPr>
        <w:t xml:space="preserve">  Ch. 1, Ch. 4, Ch. 6, Ch. 7, Ch. 8, Ch. 9, Ch. 10, Ch. 11, Ch. 13, Closing, Glossary</w:t>
      </w:r>
    </w:p>
    <w:p>
      <w:pPr>
        <w:spacing w:after="60" w:line="260"/>
        <w:ind w:left="360" w:hanging="360"/>
      </w:pPr>
      <w:r>
        <w:rPr>
          <w:rFonts w:ascii="Georgia" w:cs="Georgia" w:eastAsia="Georgia" w:hAnsi="Georgia"/>
          <w:sz w:val="21"/>
          <w:szCs w:val="21"/>
        </w:rPr>
        <w:t xml:space="preserve">entropy</w:t>
      </w:r>
      <w:r>
        <w:rPr>
          <w:rFonts w:ascii="Georgia" w:cs="Georgia" w:eastAsia="Georgia" w:hAnsi="Georgia"/>
          <w:color w:val="555555"/>
          <w:sz w:val="19"/>
          <w:szCs w:val="19"/>
        </w:rPr>
        <w:t xml:space="preserve">  Preface, Ch. 4, Ch. 7, Ch. 8, Ch. 9, Ch. 10, Ch. 11, Ch. 12, Ch. 13</w:t>
      </w:r>
    </w:p>
    <w:p>
      <w:pPr>
        <w:spacing w:after="60" w:line="260"/>
        <w:ind w:left="360" w:hanging="360"/>
      </w:pPr>
      <w:r>
        <w:rPr>
          <w:rFonts w:ascii="Georgia" w:cs="Georgia" w:eastAsia="Georgia" w:hAnsi="Georgia"/>
          <w:sz w:val="21"/>
          <w:szCs w:val="21"/>
        </w:rPr>
        <w:t xml:space="preserve">epigenetic</w:t>
      </w:r>
      <w:r>
        <w:rPr>
          <w:rFonts w:ascii="Georgia" w:cs="Georgia" w:eastAsia="Georgia" w:hAnsi="Georgia"/>
          <w:color w:val="555555"/>
          <w:sz w:val="19"/>
          <w:szCs w:val="19"/>
        </w:rPr>
        <w:t xml:space="preserve">  Ch. 7</w:t>
      </w:r>
    </w:p>
    <w:p>
      <w:pPr>
        <w:spacing w:after="60" w:line="260"/>
        <w:ind w:left="360" w:hanging="360"/>
      </w:pPr>
      <w:r>
        <w:rPr>
          <w:rFonts w:ascii="Georgia" w:cs="Georgia" w:eastAsia="Georgia" w:hAnsi="Georgia"/>
          <w:sz w:val="21"/>
          <w:szCs w:val="21"/>
        </w:rPr>
        <w:t xml:space="preserve">Flatland</w:t>
      </w:r>
      <w:r>
        <w:rPr>
          <w:rFonts w:ascii="Georgia" w:cs="Georgia" w:eastAsia="Georgia" w:hAnsi="Georgia"/>
          <w:color w:val="555555"/>
          <w:sz w:val="19"/>
          <w:szCs w:val="19"/>
        </w:rPr>
        <w:t xml:space="preserve">  Ch. 11</w:t>
      </w:r>
    </w:p>
    <w:p>
      <w:pPr>
        <w:spacing w:after="60" w:line="260"/>
        <w:ind w:left="360" w:hanging="360"/>
      </w:pPr>
      <w:r>
        <w:rPr>
          <w:rFonts w:ascii="Georgia" w:cs="Georgia" w:eastAsia="Georgia" w:hAnsi="Georgia"/>
          <w:sz w:val="21"/>
          <w:szCs w:val="21"/>
        </w:rPr>
        <w:t xml:space="preserve">geodesic</w:t>
      </w:r>
      <w:r>
        <w:rPr>
          <w:rFonts w:ascii="Georgia" w:cs="Georgia" w:eastAsia="Georgia" w:hAnsi="Georgia"/>
          <w:color w:val="555555"/>
          <w:sz w:val="19"/>
          <w:szCs w:val="19"/>
        </w:rPr>
        <w:t xml:space="preserve">  Ch. 1, Ch. 13, Glossary</w:t>
      </w:r>
    </w:p>
    <w:p>
      <w:pPr>
        <w:spacing w:after="60" w:line="260"/>
        <w:ind w:left="360" w:hanging="360"/>
      </w:pPr>
      <w:r>
        <w:rPr>
          <w:rFonts w:ascii="Georgia" w:cs="Georgia" w:eastAsia="Georgia" w:hAnsi="Georgia"/>
          <w:sz w:val="21"/>
          <w:szCs w:val="21"/>
        </w:rPr>
        <w:t xml:space="preserve">grief</w:t>
      </w:r>
      <w:r>
        <w:rPr>
          <w:rFonts w:ascii="Georgia" w:cs="Georgia" w:eastAsia="Georgia" w:hAnsi="Georgia"/>
          <w:color w:val="555555"/>
          <w:sz w:val="19"/>
          <w:szCs w:val="19"/>
        </w:rPr>
        <w:t xml:space="preserve">  Ch. 4, Ch. 5, Ch. 7</w:t>
      </w:r>
    </w:p>
    <w:p>
      <w:pPr>
        <w:spacing w:after="60" w:line="260"/>
        <w:ind w:left="360" w:hanging="360"/>
      </w:pPr>
      <w:r>
        <w:rPr>
          <w:rFonts w:ascii="Georgia" w:cs="Georgia" w:eastAsia="Georgia" w:hAnsi="Georgia"/>
          <w:sz w:val="21"/>
          <w:szCs w:val="21"/>
        </w:rPr>
        <w:t xml:space="preserve">Hameroff</w:t>
      </w:r>
      <w:r>
        <w:rPr>
          <w:rFonts w:ascii="Georgia" w:cs="Georgia" w:eastAsia="Georgia" w:hAnsi="Georgia"/>
          <w:color w:val="555555"/>
          <w:sz w:val="19"/>
          <w:szCs w:val="19"/>
        </w:rPr>
        <w:t xml:space="preserve">  Ch. 4, Ch. 8, Ch. 9</w:t>
      </w:r>
    </w:p>
    <w:p>
      <w:pPr>
        <w:spacing w:after="60" w:line="260"/>
        <w:ind w:left="360" w:hanging="360"/>
      </w:pPr>
      <w:r>
        <w:rPr>
          <w:rFonts w:ascii="Georgia" w:cs="Georgia" w:eastAsia="Georgia" w:hAnsi="Georgia"/>
          <w:sz w:val="21"/>
          <w:szCs w:val="21"/>
        </w:rPr>
        <w:t xml:space="preserve">institution</w:t>
      </w:r>
      <w:r>
        <w:rPr>
          <w:rFonts w:ascii="Georgia" w:cs="Georgia" w:eastAsia="Georgia" w:hAnsi="Georgia"/>
          <w:color w:val="555555"/>
          <w:sz w:val="19"/>
          <w:szCs w:val="19"/>
        </w:rPr>
        <w:t xml:space="preserve">  Preface, Ch. 2, Ch. 3, Ch. 5, Ch. 7, Ch. 9, Ch. 12, Ch. 13, Closing</w:t>
      </w:r>
    </w:p>
    <w:p>
      <w:pPr>
        <w:spacing w:after="60" w:line="260"/>
        <w:ind w:left="360" w:hanging="360"/>
      </w:pPr>
      <w:r>
        <w:rPr>
          <w:rFonts w:ascii="Georgia" w:cs="Georgia" w:eastAsia="Georgia" w:hAnsi="Georgia"/>
          <w:sz w:val="21"/>
          <w:szCs w:val="21"/>
        </w:rPr>
        <w:t xml:space="preserve">interface engineering</w:t>
      </w:r>
      <w:r>
        <w:rPr>
          <w:rFonts w:ascii="Georgia" w:cs="Georgia" w:eastAsia="Georgia" w:hAnsi="Georgia"/>
          <w:color w:val="555555"/>
          <w:sz w:val="19"/>
          <w:szCs w:val="19"/>
        </w:rPr>
        <w:t xml:space="preserve">  Ch. 12, Closing</w:t>
      </w:r>
    </w:p>
    <w:p>
      <w:pPr>
        <w:spacing w:after="60" w:line="260"/>
        <w:ind w:left="360" w:hanging="360"/>
      </w:pPr>
      <w:r>
        <w:rPr>
          <w:rFonts w:ascii="Georgia" w:cs="Georgia" w:eastAsia="Georgia" w:hAnsi="Georgia"/>
          <w:sz w:val="21"/>
          <w:szCs w:val="21"/>
        </w:rPr>
        <w:t xml:space="preserve">Kuhn</w:t>
      </w:r>
      <w:r>
        <w:rPr>
          <w:rFonts w:ascii="Georgia" w:cs="Georgia" w:eastAsia="Georgia" w:hAnsi="Georgia"/>
          <w:color w:val="555555"/>
          <w:sz w:val="19"/>
          <w:szCs w:val="19"/>
        </w:rPr>
        <w:t xml:space="preserve">  Preface, Closing</w:t>
      </w:r>
    </w:p>
    <w:p>
      <w:pPr>
        <w:spacing w:after="60" w:line="260"/>
        <w:ind w:left="360" w:hanging="360"/>
      </w:pPr>
      <w:r>
        <w:rPr>
          <w:rFonts w:ascii="Georgia" w:cs="Georgia" w:eastAsia="Georgia" w:hAnsi="Georgia"/>
          <w:sz w:val="21"/>
          <w:szCs w:val="21"/>
        </w:rPr>
        <w:t xml:space="preserve">linking number</w:t>
      </w:r>
      <w:r>
        <w:rPr>
          <w:rFonts w:ascii="Georgia" w:cs="Georgia" w:eastAsia="Georgia" w:hAnsi="Georgia"/>
          <w:color w:val="555555"/>
          <w:sz w:val="19"/>
          <w:szCs w:val="19"/>
        </w:rPr>
        <w:t xml:space="preserve">  Ch. 6, Ch. 9</w:t>
      </w:r>
    </w:p>
    <w:p>
      <w:pPr>
        <w:spacing w:after="60" w:line="260"/>
        <w:ind w:left="360" w:hanging="360"/>
      </w:pPr>
      <w:r>
        <w:rPr>
          <w:rFonts w:ascii="Georgia" w:cs="Georgia" w:eastAsia="Georgia" w:hAnsi="Georgia"/>
          <w:sz w:val="21"/>
          <w:szCs w:val="21"/>
        </w:rPr>
        <w:t xml:space="preserve">measurement</w:t>
      </w:r>
      <w:r>
        <w:rPr>
          <w:rFonts w:ascii="Georgia" w:cs="Georgia" w:eastAsia="Georgia" w:hAnsi="Georgia"/>
          <w:color w:val="555555"/>
          <w:sz w:val="19"/>
          <w:szCs w:val="19"/>
        </w:rPr>
        <w:t xml:space="preserve">  Ch. 3, Ch. 4, Ch. 5, Ch. 7, Ch. 8, Ch. 9, Closing</w:t>
      </w:r>
    </w:p>
    <w:p>
      <w:pPr>
        <w:spacing w:after="60" w:line="260"/>
        <w:ind w:left="360" w:hanging="360"/>
      </w:pPr>
      <w:r>
        <w:rPr>
          <w:rFonts w:ascii="Georgia" w:cs="Georgia" w:eastAsia="Georgia" w:hAnsi="Georgia"/>
          <w:sz w:val="21"/>
          <w:szCs w:val="21"/>
        </w:rPr>
        <w:t xml:space="preserve">metabolic</w:t>
      </w:r>
      <w:r>
        <w:rPr>
          <w:rFonts w:ascii="Georgia" w:cs="Georgia" w:eastAsia="Georgia" w:hAnsi="Georgia"/>
          <w:color w:val="555555"/>
          <w:sz w:val="19"/>
          <w:szCs w:val="19"/>
        </w:rPr>
        <w:t xml:space="preserve">  Ch. 1, Ch. 3, Ch. 4, Ch. 8, Ch. 13, Closing</w:t>
      </w:r>
    </w:p>
    <w:p>
      <w:pPr>
        <w:spacing w:after="60" w:line="260"/>
        <w:ind w:left="360" w:hanging="360"/>
      </w:pPr>
      <w:r>
        <w:rPr>
          <w:rFonts w:ascii="Georgia" w:cs="Georgia" w:eastAsia="Georgia" w:hAnsi="Georgia"/>
          <w:sz w:val="21"/>
          <w:szCs w:val="21"/>
        </w:rPr>
        <w:t xml:space="preserve">metabolism</w:t>
      </w:r>
      <w:r>
        <w:rPr>
          <w:rFonts w:ascii="Georgia" w:cs="Georgia" w:eastAsia="Georgia" w:hAnsi="Georgia"/>
          <w:color w:val="555555"/>
          <w:sz w:val="19"/>
          <w:szCs w:val="19"/>
        </w:rPr>
        <w:t xml:space="preserve">  Ch. 8, Ch. 13, Closing</w:t>
      </w:r>
    </w:p>
    <w:p>
      <w:pPr>
        <w:spacing w:after="60" w:line="260"/>
        <w:ind w:left="360" w:hanging="360"/>
      </w:pPr>
      <w:r>
        <w:rPr>
          <w:rFonts w:ascii="Georgia" w:cs="Georgia" w:eastAsia="Georgia" w:hAnsi="Georgia"/>
          <w:sz w:val="21"/>
          <w:szCs w:val="21"/>
        </w:rPr>
        <w:t xml:space="preserve">microtubule</w:t>
      </w:r>
      <w:r>
        <w:rPr>
          <w:rFonts w:ascii="Georgia" w:cs="Georgia" w:eastAsia="Georgia" w:hAnsi="Georgia"/>
          <w:color w:val="555555"/>
          <w:sz w:val="19"/>
          <w:szCs w:val="19"/>
        </w:rPr>
        <w:t xml:space="preserve">  Ch. 2, Ch. 3, Ch. 4, Ch. 7, Ch. 8, Ch. 9, Ch. 10, Ch. 11, Ch. 13</w:t>
      </w:r>
    </w:p>
    <w:p>
      <w:pPr>
        <w:spacing w:after="60" w:line="260"/>
        <w:ind w:left="360" w:hanging="360"/>
      </w:pPr>
      <w:r>
        <w:rPr>
          <w:rFonts w:ascii="Georgia" w:cs="Georgia" w:eastAsia="Georgia" w:hAnsi="Georgia"/>
          <w:sz w:val="21"/>
          <w:szCs w:val="21"/>
        </w:rPr>
        <w:t xml:space="preserve">Montgomery</w:t>
      </w:r>
      <w:r>
        <w:rPr>
          <w:rFonts w:ascii="Georgia" w:cs="Georgia" w:eastAsia="Georgia" w:hAnsi="Georgia"/>
          <w:color w:val="555555"/>
          <w:sz w:val="19"/>
          <w:szCs w:val="19"/>
        </w:rPr>
        <w:t xml:space="preserve">  Ch. 1, Ch. 6, Ch. 9, Glossary</w:t>
      </w:r>
    </w:p>
    <w:p>
      <w:pPr>
        <w:spacing w:after="60" w:line="260"/>
        <w:ind w:left="360" w:hanging="360"/>
      </w:pPr>
      <w:r>
        <w:rPr>
          <w:rFonts w:ascii="Georgia" w:cs="Georgia" w:eastAsia="Georgia" w:hAnsi="Georgia"/>
          <w:sz w:val="21"/>
          <w:szCs w:val="21"/>
        </w:rPr>
        <w:t xml:space="preserve">mRNA</w:t>
      </w:r>
      <w:r>
        <w:rPr>
          <w:rFonts w:ascii="Georgia" w:cs="Georgia" w:eastAsia="Georgia" w:hAnsi="Georgia"/>
          <w:color w:val="555555"/>
          <w:sz w:val="19"/>
          <w:szCs w:val="19"/>
        </w:rPr>
        <w:t xml:space="preserve">  Ch. 4, Ch. 7</w:t>
      </w:r>
    </w:p>
    <w:p>
      <w:pPr>
        <w:spacing w:after="60" w:line="260"/>
        <w:ind w:left="360" w:hanging="360"/>
      </w:pPr>
      <w:r>
        <w:rPr>
          <w:rFonts w:ascii="Georgia" w:cs="Georgia" w:eastAsia="Georgia" w:hAnsi="Georgia"/>
          <w:sz w:val="21"/>
          <w:szCs w:val="21"/>
        </w:rPr>
        <w:t xml:space="preserve">Nashville</w:t>
      </w:r>
      <w:r>
        <w:rPr>
          <w:rFonts w:ascii="Georgia" w:cs="Georgia" w:eastAsia="Georgia" w:hAnsi="Georgia"/>
          <w:color w:val="555555"/>
          <w:sz w:val="19"/>
          <w:szCs w:val="19"/>
        </w:rPr>
        <w:t xml:space="preserve">  Ch. 1, Ch. 2, Ch. 4, Ch. 5, Ch. 12, Closing</w:t>
      </w:r>
    </w:p>
    <w:p>
      <w:pPr>
        <w:spacing w:after="60" w:line="260"/>
        <w:ind w:left="360" w:hanging="360"/>
      </w:pPr>
      <w:r>
        <w:rPr>
          <w:rFonts w:ascii="Georgia" w:cs="Georgia" w:eastAsia="Georgia" w:hAnsi="Georgia"/>
          <w:sz w:val="21"/>
          <w:szCs w:val="21"/>
        </w:rPr>
        <w:t xml:space="preserve">natural selection</w:t>
      </w:r>
      <w:r>
        <w:rPr>
          <w:rFonts w:ascii="Georgia" w:cs="Georgia" w:eastAsia="Georgia" w:hAnsi="Georgia"/>
          <w:color w:val="555555"/>
          <w:sz w:val="19"/>
          <w:szCs w:val="19"/>
        </w:rPr>
        <w:t xml:space="preserve">  Ch. 1, Ch. 3, Closing, Glossary</w:t>
      </w:r>
    </w:p>
    <w:p>
      <w:pPr>
        <w:spacing w:after="60" w:line="260"/>
        <w:ind w:left="360" w:hanging="360"/>
      </w:pPr>
      <w:r>
        <w:rPr>
          <w:rFonts w:ascii="Georgia" w:cs="Georgia" w:eastAsia="Georgia" w:hAnsi="Georgia"/>
          <w:sz w:val="21"/>
          <w:szCs w:val="21"/>
        </w:rPr>
        <w:t xml:space="preserve">OAM</w:t>
      </w:r>
      <w:r>
        <w:rPr>
          <w:rFonts w:ascii="Georgia" w:cs="Georgia" w:eastAsia="Georgia" w:hAnsi="Georgia"/>
          <w:color w:val="555555"/>
          <w:sz w:val="19"/>
          <w:szCs w:val="19"/>
        </w:rPr>
        <w:t xml:space="preserve">  Ch. 6, Ch. 9</w:t>
      </w:r>
    </w:p>
    <w:p>
      <w:pPr>
        <w:spacing w:after="60" w:line="260"/>
        <w:ind w:left="360" w:hanging="360"/>
      </w:pPr>
      <w:r>
        <w:rPr>
          <w:rFonts w:ascii="Georgia" w:cs="Georgia" w:eastAsia="Georgia" w:hAnsi="Georgia"/>
          <w:sz w:val="21"/>
          <w:szCs w:val="21"/>
        </w:rPr>
        <w:t xml:space="preserve">objectivity</w:t>
      </w:r>
      <w:r>
        <w:rPr>
          <w:rFonts w:ascii="Georgia" w:cs="Georgia" w:eastAsia="Georgia" w:hAnsi="Georgia"/>
          <w:color w:val="555555"/>
          <w:sz w:val="19"/>
          <w:szCs w:val="19"/>
        </w:rPr>
        <w:t xml:space="preserve">  Ch. 3</w:t>
      </w:r>
    </w:p>
    <w:p>
      <w:pPr>
        <w:spacing w:after="60" w:line="260"/>
        <w:ind w:left="360" w:hanging="360"/>
      </w:pPr>
      <w:r>
        <w:rPr>
          <w:rFonts w:ascii="Georgia" w:cs="Georgia" w:eastAsia="Georgia" w:hAnsi="Georgia"/>
          <w:sz w:val="21"/>
          <w:szCs w:val="21"/>
        </w:rPr>
        <w:t xml:space="preserve">offloading</w:t>
      </w:r>
      <w:r>
        <w:rPr>
          <w:rFonts w:ascii="Georgia" w:cs="Georgia" w:eastAsia="Georgia" w:hAnsi="Georgia"/>
          <w:color w:val="555555"/>
          <w:sz w:val="19"/>
          <w:szCs w:val="19"/>
        </w:rPr>
        <w:t xml:space="preserve">  Closing</w:t>
      </w:r>
    </w:p>
    <w:p>
      <w:pPr>
        <w:spacing w:after="60" w:line="260"/>
        <w:ind w:left="360" w:hanging="360"/>
      </w:pPr>
      <w:r>
        <w:rPr>
          <w:rFonts w:ascii="Georgia" w:cs="Georgia" w:eastAsia="Georgia" w:hAnsi="Georgia"/>
          <w:sz w:val="21"/>
          <w:szCs w:val="21"/>
        </w:rPr>
        <w:t xml:space="preserve">Orch OR</w:t>
      </w:r>
      <w:r>
        <w:rPr>
          <w:rFonts w:ascii="Georgia" w:cs="Georgia" w:eastAsia="Georgia" w:hAnsi="Georgia"/>
          <w:color w:val="555555"/>
          <w:sz w:val="19"/>
          <w:szCs w:val="19"/>
        </w:rPr>
        <w:t xml:space="preserve">  Ch. 4</w:t>
      </w:r>
    </w:p>
    <w:p>
      <w:pPr>
        <w:spacing w:after="60" w:line="260"/>
        <w:ind w:left="360" w:hanging="360"/>
      </w:pPr>
      <w:r>
        <w:rPr>
          <w:rFonts w:ascii="Georgia" w:cs="Georgia" w:eastAsia="Georgia" w:hAnsi="Georgia"/>
          <w:sz w:val="21"/>
          <w:szCs w:val="21"/>
        </w:rPr>
        <w:t xml:space="preserve">oscillator</w:t>
      </w:r>
      <w:r>
        <w:rPr>
          <w:rFonts w:ascii="Georgia" w:cs="Georgia" w:eastAsia="Georgia" w:hAnsi="Georgia"/>
          <w:color w:val="555555"/>
          <w:sz w:val="19"/>
          <w:szCs w:val="19"/>
        </w:rPr>
        <w:t xml:space="preserve">  Ch. 12</w:t>
      </w:r>
    </w:p>
    <w:p>
      <w:pPr>
        <w:spacing w:after="60" w:line="260"/>
        <w:ind w:left="360" w:hanging="360"/>
      </w:pPr>
      <w:r>
        <w:rPr>
          <w:rFonts w:ascii="Georgia" w:cs="Georgia" w:eastAsia="Georgia" w:hAnsi="Georgia"/>
          <w:sz w:val="21"/>
          <w:szCs w:val="21"/>
        </w:rPr>
        <w:t xml:space="preserve">osprey</w:t>
      </w:r>
      <w:r>
        <w:rPr>
          <w:rFonts w:ascii="Georgia" w:cs="Georgia" w:eastAsia="Georgia" w:hAnsi="Georgia"/>
          <w:color w:val="555555"/>
          <w:sz w:val="19"/>
          <w:szCs w:val="19"/>
        </w:rPr>
        <w:t xml:space="preserve">  Ch. 4, Ch. 5, Ch. 6, Ch. 7, Ch. 13, Closing</w:t>
      </w:r>
    </w:p>
    <w:p>
      <w:pPr>
        <w:spacing w:after="60" w:line="260"/>
        <w:ind w:left="360" w:hanging="360"/>
      </w:pPr>
      <w:r>
        <w:rPr>
          <w:rFonts w:ascii="Georgia" w:cs="Georgia" w:eastAsia="Georgia" w:hAnsi="Georgia"/>
          <w:sz w:val="21"/>
          <w:szCs w:val="21"/>
        </w:rPr>
        <w:t xml:space="preserve">paradigm</w:t>
      </w:r>
      <w:r>
        <w:rPr>
          <w:rFonts w:ascii="Georgia" w:cs="Georgia" w:eastAsia="Georgia" w:hAnsi="Georgia"/>
          <w:color w:val="555555"/>
          <w:sz w:val="19"/>
          <w:szCs w:val="19"/>
        </w:rPr>
        <w:t xml:space="preserve">  Preface, Ch. 11, Ch. 13, Closing</w:t>
      </w:r>
    </w:p>
    <w:p>
      <w:pPr>
        <w:spacing w:after="60" w:line="260"/>
        <w:ind w:left="360" w:hanging="360"/>
      </w:pPr>
      <w:r>
        <w:rPr>
          <w:rFonts w:ascii="Georgia" w:cs="Georgia" w:eastAsia="Georgia" w:hAnsi="Georgia"/>
          <w:sz w:val="21"/>
          <w:szCs w:val="21"/>
        </w:rPr>
        <w:t xml:space="preserve">parallax</w:t>
      </w:r>
      <w:r>
        <w:rPr>
          <w:rFonts w:ascii="Georgia" w:cs="Georgia" w:eastAsia="Georgia" w:hAnsi="Georgia"/>
          <w:color w:val="555555"/>
          <w:sz w:val="19"/>
          <w:szCs w:val="19"/>
        </w:rPr>
        <w:t xml:space="preserve">  Preface, Ch. 1, Ch. 11, Ch. 12, Closing, Glossary</w:t>
      </w:r>
    </w:p>
    <w:p>
      <w:pPr>
        <w:spacing w:after="60" w:line="260"/>
        <w:ind w:left="360" w:hanging="360"/>
      </w:pPr>
      <w:r>
        <w:rPr>
          <w:rFonts w:ascii="Georgia" w:cs="Georgia" w:eastAsia="Georgia" w:hAnsi="Georgia"/>
          <w:sz w:val="21"/>
          <w:szCs w:val="21"/>
        </w:rPr>
        <w:t xml:space="preserve">Penrose</w:t>
      </w:r>
      <w:r>
        <w:rPr>
          <w:rFonts w:ascii="Georgia" w:cs="Georgia" w:eastAsia="Georgia" w:hAnsi="Georgia"/>
          <w:color w:val="555555"/>
          <w:sz w:val="19"/>
          <w:szCs w:val="19"/>
        </w:rPr>
        <w:t xml:space="preserve">  Ch. 4, Ch. 8, Ch. 9, Ch. 10</w:t>
      </w:r>
    </w:p>
    <w:p>
      <w:pPr>
        <w:spacing w:after="60" w:line="260"/>
        <w:ind w:left="360" w:hanging="360"/>
      </w:pPr>
      <w:r>
        <w:rPr>
          <w:rFonts w:ascii="Georgia" w:cs="Georgia" w:eastAsia="Georgia" w:hAnsi="Georgia"/>
          <w:sz w:val="21"/>
          <w:szCs w:val="21"/>
        </w:rPr>
        <w:t xml:space="preserve">phase-lock</w:t>
      </w:r>
      <w:r>
        <w:rPr>
          <w:rFonts w:ascii="Georgia" w:cs="Georgia" w:eastAsia="Georgia" w:hAnsi="Georgia"/>
          <w:color w:val="555555"/>
          <w:sz w:val="19"/>
          <w:szCs w:val="19"/>
        </w:rPr>
        <w:t xml:space="preserve">  Ch. 8, Ch. 9, Ch. 10, Ch. 11, Ch. 12</w:t>
      </w:r>
    </w:p>
    <w:p>
      <w:pPr>
        <w:spacing w:after="60" w:line="260"/>
        <w:ind w:left="360" w:hanging="360"/>
      </w:pPr>
      <w:r>
        <w:rPr>
          <w:rFonts w:ascii="Georgia" w:cs="Georgia" w:eastAsia="Georgia" w:hAnsi="Georgia"/>
          <w:sz w:val="21"/>
          <w:szCs w:val="21"/>
        </w:rPr>
        <w:t xml:space="preserve">photonic</w:t>
      </w:r>
      <w:r>
        <w:rPr>
          <w:rFonts w:ascii="Georgia" w:cs="Georgia" w:eastAsia="Georgia" w:hAnsi="Georgia"/>
          <w:color w:val="555555"/>
          <w:sz w:val="19"/>
          <w:szCs w:val="19"/>
        </w:rPr>
        <w:t xml:space="preserve">  Ch. 3, Ch. 6</w:t>
      </w:r>
    </w:p>
    <w:p>
      <w:pPr>
        <w:spacing w:after="60" w:line="260"/>
        <w:ind w:left="360" w:hanging="360"/>
      </w:pPr>
      <w:r>
        <w:rPr>
          <w:rFonts w:ascii="Georgia" w:cs="Georgia" w:eastAsia="Georgia" w:hAnsi="Georgia"/>
          <w:sz w:val="21"/>
          <w:szCs w:val="21"/>
        </w:rPr>
        <w:t xml:space="preserve">pointer state</w:t>
      </w:r>
      <w:r>
        <w:rPr>
          <w:rFonts w:ascii="Georgia" w:cs="Georgia" w:eastAsia="Georgia" w:hAnsi="Georgia"/>
          <w:color w:val="555555"/>
          <w:sz w:val="19"/>
          <w:szCs w:val="19"/>
        </w:rPr>
        <w:t xml:space="preserve">  Ch. 3</w:t>
      </w:r>
    </w:p>
    <w:p>
      <w:pPr>
        <w:spacing w:after="60" w:line="260"/>
        <w:ind w:left="360" w:hanging="360"/>
      </w:pPr>
      <w:r>
        <w:rPr>
          <w:rFonts w:ascii="Georgia" w:cs="Georgia" w:eastAsia="Georgia" w:hAnsi="Georgia"/>
          <w:sz w:val="21"/>
          <w:szCs w:val="21"/>
        </w:rPr>
        <w:t xml:space="preserve">prime</w:t>
      </w:r>
      <w:r>
        <w:rPr>
          <w:rFonts w:ascii="Georgia" w:cs="Georgia" w:eastAsia="Georgia" w:hAnsi="Georgia"/>
          <w:color w:val="555555"/>
          <w:sz w:val="19"/>
          <w:szCs w:val="19"/>
        </w:rPr>
        <w:t xml:space="preserve">  Ch. 1, Ch. 2, Ch. 5, Ch. 6, Ch. 9, Ch. 10, Glossary</w:t>
      </w:r>
    </w:p>
    <w:p>
      <w:pPr>
        <w:spacing w:after="60" w:line="260"/>
        <w:ind w:left="360" w:hanging="360"/>
      </w:pPr>
      <w:r>
        <w:rPr>
          <w:rFonts w:ascii="Georgia" w:cs="Georgia" w:eastAsia="Georgia" w:hAnsi="Georgia"/>
          <w:sz w:val="21"/>
          <w:szCs w:val="21"/>
        </w:rPr>
        <w:t xml:space="preserve">protein folding</w:t>
      </w:r>
      <w:r>
        <w:rPr>
          <w:rFonts w:ascii="Georgia" w:cs="Georgia" w:eastAsia="Georgia" w:hAnsi="Georgia"/>
          <w:color w:val="555555"/>
          <w:sz w:val="19"/>
          <w:szCs w:val="19"/>
        </w:rPr>
        <w:t xml:space="preserve">  Ch. 4, Ch. 8</w:t>
      </w:r>
    </w:p>
    <w:p>
      <w:pPr>
        <w:spacing w:after="60" w:line="260"/>
        <w:ind w:left="360" w:hanging="360"/>
      </w:pPr>
      <w:r>
        <w:rPr>
          <w:rFonts w:ascii="Georgia" w:cs="Georgia" w:eastAsia="Georgia" w:hAnsi="Georgia"/>
          <w:sz w:val="21"/>
          <w:szCs w:val="21"/>
        </w:rPr>
        <w:t xml:space="preserve">quantum Darwinism</w:t>
      </w:r>
      <w:r>
        <w:rPr>
          <w:rFonts w:ascii="Georgia" w:cs="Georgia" w:eastAsia="Georgia" w:hAnsi="Georgia"/>
          <w:color w:val="555555"/>
          <w:sz w:val="19"/>
          <w:szCs w:val="19"/>
        </w:rPr>
        <w:t xml:space="preserve">  Ch. 3</w:t>
      </w:r>
    </w:p>
    <w:p>
      <w:pPr>
        <w:spacing w:after="60" w:line="260"/>
        <w:ind w:left="360" w:hanging="360"/>
      </w:pPr>
      <w:r>
        <w:rPr>
          <w:rFonts w:ascii="Georgia" w:cs="Georgia" w:eastAsia="Georgia" w:hAnsi="Georgia"/>
          <w:sz w:val="21"/>
          <w:szCs w:val="21"/>
        </w:rPr>
        <w:t xml:space="preserve">random matrix</w:t>
      </w:r>
      <w:r>
        <w:rPr>
          <w:rFonts w:ascii="Georgia" w:cs="Georgia" w:eastAsia="Georgia" w:hAnsi="Georgia"/>
          <w:color w:val="555555"/>
          <w:sz w:val="19"/>
          <w:szCs w:val="19"/>
        </w:rPr>
        <w:t xml:space="preserve">  Ch. 1, Glossary</w:t>
      </w:r>
    </w:p>
    <w:p>
      <w:pPr>
        <w:spacing w:after="60" w:line="260"/>
        <w:ind w:left="360" w:hanging="360"/>
      </w:pPr>
      <w:r>
        <w:rPr>
          <w:rFonts w:ascii="Georgia" w:cs="Georgia" w:eastAsia="Georgia" w:hAnsi="Georgia"/>
          <w:sz w:val="21"/>
          <w:szCs w:val="21"/>
        </w:rPr>
        <w:t xml:space="preserve">receiver</w:t>
      </w:r>
      <w:r>
        <w:rPr>
          <w:rFonts w:ascii="Georgia" w:cs="Georgia" w:eastAsia="Georgia" w:hAnsi="Georgia"/>
          <w:color w:val="555555"/>
          <w:sz w:val="19"/>
          <w:szCs w:val="19"/>
        </w:rPr>
        <w:t xml:space="preserve">  Ch. 1, Ch. 3, Ch. 4, Ch. 6, Ch. 7, Ch. 8, Ch. 9, Ch. 10, Ch. 12, Ch. 13, Closing</w:t>
      </w:r>
    </w:p>
    <w:p>
      <w:pPr>
        <w:spacing w:after="60" w:line="260"/>
        <w:ind w:left="360" w:hanging="360"/>
      </w:pPr>
      <w:r>
        <w:rPr>
          <w:rFonts w:ascii="Georgia" w:cs="Georgia" w:eastAsia="Georgia" w:hAnsi="Georgia"/>
          <w:sz w:val="21"/>
          <w:szCs w:val="21"/>
        </w:rPr>
        <w:t xml:space="preserve">redundancy</w:t>
      </w:r>
      <w:r>
        <w:rPr>
          <w:rFonts w:ascii="Georgia" w:cs="Georgia" w:eastAsia="Georgia" w:hAnsi="Georgia"/>
          <w:color w:val="555555"/>
          <w:sz w:val="19"/>
          <w:szCs w:val="19"/>
        </w:rPr>
        <w:t xml:space="preserve">  Ch. 3, Ch. 6</w:t>
      </w:r>
    </w:p>
    <w:p>
      <w:pPr>
        <w:spacing w:after="60" w:line="260"/>
        <w:ind w:left="360" w:hanging="360"/>
      </w:pPr>
      <w:r>
        <w:rPr>
          <w:rFonts w:ascii="Georgia" w:cs="Georgia" w:eastAsia="Georgia" w:hAnsi="Georgia"/>
          <w:sz w:val="21"/>
          <w:szCs w:val="21"/>
        </w:rPr>
        <w:t xml:space="preserve">resonance</w:t>
      </w:r>
      <w:r>
        <w:rPr>
          <w:rFonts w:ascii="Georgia" w:cs="Georgia" w:eastAsia="Georgia" w:hAnsi="Georgia"/>
          <w:color w:val="555555"/>
          <w:sz w:val="19"/>
          <w:szCs w:val="19"/>
        </w:rPr>
        <w:t xml:space="preserve">  Ch. 4, Ch. 7, Ch. 8, Ch. 9, Ch. 10, Ch. 12</w:t>
      </w:r>
    </w:p>
    <w:p>
      <w:pPr>
        <w:spacing w:after="60" w:line="260"/>
        <w:ind w:left="360" w:hanging="360"/>
      </w:pPr>
      <w:r>
        <w:rPr>
          <w:rFonts w:ascii="Georgia" w:cs="Georgia" w:eastAsia="Georgia" w:hAnsi="Georgia"/>
          <w:sz w:val="21"/>
          <w:szCs w:val="21"/>
        </w:rPr>
        <w:t xml:space="preserve">Riemann</w:t>
      </w:r>
      <w:r>
        <w:rPr>
          <w:rFonts w:ascii="Georgia" w:cs="Georgia" w:eastAsia="Georgia" w:hAnsi="Georgia"/>
          <w:color w:val="555555"/>
          <w:sz w:val="19"/>
          <w:szCs w:val="19"/>
        </w:rPr>
        <w:t xml:space="preserve">  Preface, Ch. 1, Ch. 2, Ch. 3, Ch. 4, Ch. 5, Ch. 6, Ch. 7, Ch. 9, Ch. 10, Ch. 11, Ch. 13, Closing, Glossary</w:t>
      </w:r>
    </w:p>
    <w:p>
      <w:pPr>
        <w:spacing w:after="60" w:line="260"/>
        <w:ind w:left="360" w:hanging="360"/>
      </w:pPr>
      <w:r>
        <w:rPr>
          <w:rFonts w:ascii="Georgia" w:cs="Georgia" w:eastAsia="Georgia" w:hAnsi="Georgia"/>
          <w:sz w:val="21"/>
          <w:szCs w:val="21"/>
        </w:rPr>
        <w:t xml:space="preserve">Schumann</w:t>
      </w:r>
      <w:r>
        <w:rPr>
          <w:rFonts w:ascii="Georgia" w:cs="Georgia" w:eastAsia="Georgia" w:hAnsi="Georgia"/>
          <w:color w:val="555555"/>
          <w:sz w:val="19"/>
          <w:szCs w:val="19"/>
        </w:rPr>
        <w:t xml:space="preserve">  Ch. 7</w:t>
      </w:r>
    </w:p>
    <w:p>
      <w:pPr>
        <w:spacing w:after="60" w:line="260"/>
        <w:ind w:left="360" w:hanging="360"/>
      </w:pPr>
      <w:r>
        <w:rPr>
          <w:rFonts w:ascii="Georgia" w:cs="Georgia" w:eastAsia="Georgia" w:hAnsi="Georgia"/>
          <w:sz w:val="21"/>
          <w:szCs w:val="21"/>
        </w:rPr>
        <w:t xml:space="preserve">Socratic</w:t>
      </w:r>
      <w:r>
        <w:rPr>
          <w:rFonts w:ascii="Georgia" w:cs="Georgia" w:eastAsia="Georgia" w:hAnsi="Georgia"/>
          <w:color w:val="555555"/>
          <w:sz w:val="19"/>
          <w:szCs w:val="19"/>
        </w:rPr>
        <w:t xml:space="preserve">  Ch. 8, Ch. 9, Ch. 10, Ch. 11, Ch. 12, Closing</w:t>
      </w:r>
    </w:p>
    <w:p>
      <w:pPr>
        <w:spacing w:after="60" w:line="260"/>
        <w:ind w:left="360" w:hanging="360"/>
      </w:pPr>
      <w:r>
        <w:rPr>
          <w:rFonts w:ascii="Georgia" w:cs="Georgia" w:eastAsia="Georgia" w:hAnsi="Georgia"/>
          <w:sz w:val="21"/>
          <w:szCs w:val="21"/>
        </w:rPr>
        <w:t xml:space="preserve">solar</w:t>
      </w:r>
      <w:r>
        <w:rPr>
          <w:rFonts w:ascii="Georgia" w:cs="Georgia" w:eastAsia="Georgia" w:hAnsi="Georgia"/>
          <w:color w:val="555555"/>
          <w:sz w:val="19"/>
          <w:szCs w:val="19"/>
        </w:rPr>
        <w:t xml:space="preserve">  Ch. 1, Ch. 7, Ch. 8, Glossary</w:t>
      </w:r>
    </w:p>
    <w:p>
      <w:pPr>
        <w:spacing w:after="60" w:line="260"/>
        <w:ind w:left="360" w:hanging="360"/>
      </w:pPr>
      <w:r>
        <w:rPr>
          <w:rFonts w:ascii="Georgia" w:cs="Georgia" w:eastAsia="Georgia" w:hAnsi="Georgia"/>
          <w:sz w:val="21"/>
          <w:szCs w:val="21"/>
        </w:rPr>
        <w:t xml:space="preserve">sovereignty</w:t>
      </w:r>
      <w:r>
        <w:rPr>
          <w:rFonts w:ascii="Georgia" w:cs="Georgia" w:eastAsia="Georgia" w:hAnsi="Georgia"/>
          <w:color w:val="555555"/>
          <w:sz w:val="19"/>
          <w:szCs w:val="19"/>
        </w:rPr>
        <w:t xml:space="preserve">  Preface, Ch. 4, Ch. 7, Ch. 10, Ch. 12, Ch. 13</w:t>
      </w:r>
    </w:p>
    <w:p>
      <w:pPr>
        <w:spacing w:after="60" w:line="260"/>
        <w:ind w:left="360" w:hanging="360"/>
      </w:pPr>
      <w:r>
        <w:rPr>
          <w:rFonts w:ascii="Georgia" w:cs="Georgia" w:eastAsia="Georgia" w:hAnsi="Georgia"/>
          <w:sz w:val="21"/>
          <w:szCs w:val="21"/>
        </w:rPr>
        <w:t xml:space="preserve">spintronic</w:t>
      </w:r>
      <w:r>
        <w:rPr>
          <w:rFonts w:ascii="Georgia" w:cs="Georgia" w:eastAsia="Georgia" w:hAnsi="Georgia"/>
          <w:color w:val="555555"/>
          <w:sz w:val="19"/>
          <w:szCs w:val="19"/>
        </w:rPr>
        <w:t xml:space="preserve">  Ch. 7, Ch. 9, Ch. 10</w:t>
      </w:r>
    </w:p>
    <w:p>
      <w:pPr>
        <w:spacing w:after="60" w:line="260"/>
        <w:ind w:left="360" w:hanging="360"/>
      </w:pPr>
      <w:r>
        <w:rPr>
          <w:rFonts w:ascii="Georgia" w:cs="Georgia" w:eastAsia="Georgia" w:hAnsi="Georgia"/>
          <w:sz w:val="21"/>
          <w:szCs w:val="21"/>
        </w:rPr>
        <w:t xml:space="preserve">standing wave</w:t>
      </w:r>
      <w:r>
        <w:rPr>
          <w:rFonts w:ascii="Georgia" w:cs="Georgia" w:eastAsia="Georgia" w:hAnsi="Georgia"/>
          <w:color w:val="555555"/>
          <w:sz w:val="19"/>
          <w:szCs w:val="19"/>
        </w:rPr>
        <w:t xml:space="preserve">  Ch. 1, Ch. 2, Ch. 3, Ch. 4, Ch. 5, Ch. 6, Ch. 9, Ch. 10, Ch. 11, Ch. 12, Ch. 13, Closing, Glossary</w:t>
      </w:r>
    </w:p>
    <w:p>
      <w:pPr>
        <w:spacing w:after="60" w:line="260"/>
        <w:ind w:left="360" w:hanging="360"/>
      </w:pPr>
      <w:r>
        <w:rPr>
          <w:rFonts w:ascii="Georgia" w:cs="Georgia" w:eastAsia="Georgia" w:hAnsi="Georgia"/>
          <w:sz w:val="21"/>
          <w:szCs w:val="21"/>
        </w:rPr>
        <w:t xml:space="preserve">substrate</w:t>
      </w:r>
      <w:r>
        <w:rPr>
          <w:rFonts w:ascii="Georgia" w:cs="Georgia" w:eastAsia="Georgia" w:hAnsi="Georgia"/>
          <w:color w:val="555555"/>
          <w:sz w:val="19"/>
          <w:szCs w:val="19"/>
        </w:rPr>
        <w:t xml:space="preserve">  Ch. 1, Ch. 2, Ch. 3, Ch. 4, Ch. 5, Ch. 6, Ch. 7, Ch. 8, Ch. 9, Ch. 10, Ch. 11, Ch. 13, Glossary</w:t>
      </w:r>
    </w:p>
    <w:p>
      <w:pPr>
        <w:spacing w:after="60" w:line="260"/>
        <w:ind w:left="360" w:hanging="360"/>
      </w:pPr>
      <w:r>
        <w:rPr>
          <w:rFonts w:ascii="Georgia" w:cs="Georgia" w:eastAsia="Georgia" w:hAnsi="Georgia"/>
          <w:sz w:val="21"/>
          <w:szCs w:val="21"/>
        </w:rPr>
        <w:t xml:space="preserve">sycophantic decay</w:t>
      </w:r>
      <w:r>
        <w:rPr>
          <w:rFonts w:ascii="Georgia" w:cs="Georgia" w:eastAsia="Georgia" w:hAnsi="Georgia"/>
          <w:color w:val="555555"/>
          <w:sz w:val="19"/>
          <w:szCs w:val="19"/>
        </w:rPr>
        <w:t xml:space="preserve">  Ch. 3, Ch. 4, Ch. 12, Closing</w:t>
      </w:r>
    </w:p>
    <w:p>
      <w:pPr>
        <w:spacing w:after="60" w:line="260"/>
        <w:ind w:left="360" w:hanging="360"/>
      </w:pPr>
      <w:r>
        <w:rPr>
          <w:rFonts w:ascii="Georgia" w:cs="Georgia" w:eastAsia="Georgia" w:hAnsi="Georgia"/>
          <w:sz w:val="21"/>
          <w:szCs w:val="21"/>
        </w:rPr>
        <w:t xml:space="preserve">tensegrity</w:t>
      </w:r>
      <w:r>
        <w:rPr>
          <w:rFonts w:ascii="Georgia" w:cs="Georgia" w:eastAsia="Georgia" w:hAnsi="Georgia"/>
          <w:color w:val="555555"/>
          <w:sz w:val="19"/>
          <w:szCs w:val="19"/>
        </w:rPr>
        <w:t xml:space="preserve">  Ch. 1, Ch. 2, Ch. 3, Ch. 4, Ch. 5, Ch. 7, Ch. 9, Closing</w:t>
      </w:r>
    </w:p>
    <w:p>
      <w:pPr>
        <w:spacing w:after="60" w:line="260"/>
        <w:ind w:left="360" w:hanging="360"/>
      </w:pPr>
      <w:r>
        <w:rPr>
          <w:rFonts w:ascii="Georgia" w:cs="Georgia" w:eastAsia="Georgia" w:hAnsi="Georgia"/>
          <w:sz w:val="21"/>
          <w:szCs w:val="21"/>
        </w:rPr>
        <w:t xml:space="preserve">topology</w:t>
      </w:r>
      <w:r>
        <w:rPr>
          <w:rFonts w:ascii="Georgia" w:cs="Georgia" w:eastAsia="Georgia" w:hAnsi="Georgia"/>
          <w:color w:val="555555"/>
          <w:sz w:val="19"/>
          <w:szCs w:val="19"/>
        </w:rPr>
        <w:t xml:space="preserve">  Ch. 6, Ch. 8, Ch. 9, Ch. 10, Ch. 11</w:t>
      </w:r>
    </w:p>
    <w:p>
      <w:pPr>
        <w:spacing w:after="60" w:line="260"/>
        <w:ind w:left="360" w:hanging="360"/>
      </w:pPr>
      <w:r>
        <w:rPr>
          <w:rFonts w:ascii="Georgia" w:cs="Georgia" w:eastAsia="Georgia" w:hAnsi="Georgia"/>
          <w:sz w:val="21"/>
          <w:szCs w:val="21"/>
        </w:rPr>
        <w:t xml:space="preserve">torsion</w:t>
      </w:r>
      <w:r>
        <w:rPr>
          <w:rFonts w:ascii="Georgia" w:cs="Georgia" w:eastAsia="Georgia" w:hAnsi="Georgia"/>
          <w:color w:val="555555"/>
          <w:sz w:val="19"/>
          <w:szCs w:val="19"/>
        </w:rPr>
        <w:t xml:space="preserve">  Ch. 1, Ch. 4, Ch. 5, Ch. 6, Ch. 9, Ch. 10, Ch. 11, Ch. 13, Glossary</w:t>
      </w:r>
    </w:p>
    <w:p>
      <w:pPr>
        <w:spacing w:after="60" w:line="260"/>
        <w:ind w:left="360" w:hanging="360"/>
      </w:pPr>
      <w:r>
        <w:rPr>
          <w:rFonts w:ascii="Georgia" w:cs="Georgia" w:eastAsia="Georgia" w:hAnsi="Georgia"/>
          <w:sz w:val="21"/>
          <w:szCs w:val="21"/>
        </w:rPr>
        <w:t xml:space="preserve">tubulin</w:t>
      </w:r>
      <w:r>
        <w:rPr>
          <w:rFonts w:ascii="Georgia" w:cs="Georgia" w:eastAsia="Georgia" w:hAnsi="Georgia"/>
          <w:color w:val="555555"/>
          <w:sz w:val="19"/>
          <w:szCs w:val="19"/>
        </w:rPr>
        <w:t xml:space="preserve">  Ch. 2, Ch. 4, Ch. 5, Ch. 6, Ch. 7, Ch. 9, Ch. 10, Ch. 12, Closing</w:t>
      </w:r>
    </w:p>
    <w:p>
      <w:pPr>
        <w:spacing w:after="60" w:line="260"/>
        <w:ind w:left="360" w:hanging="360"/>
      </w:pPr>
      <w:r>
        <w:rPr>
          <w:rFonts w:ascii="Georgia" w:cs="Georgia" w:eastAsia="Georgia" w:hAnsi="Georgia"/>
          <w:sz w:val="21"/>
          <w:szCs w:val="21"/>
        </w:rPr>
        <w:t xml:space="preserve">twist</w:t>
      </w:r>
      <w:r>
        <w:rPr>
          <w:rFonts w:ascii="Georgia" w:cs="Georgia" w:eastAsia="Georgia" w:hAnsi="Georgia"/>
          <w:color w:val="555555"/>
          <w:sz w:val="19"/>
          <w:szCs w:val="19"/>
        </w:rPr>
        <w:t xml:space="preserve">  Ch. 1, Ch. 6</w:t>
      </w:r>
    </w:p>
    <w:p>
      <w:pPr>
        <w:spacing w:after="60" w:line="260"/>
        <w:ind w:left="360" w:hanging="360"/>
      </w:pPr>
      <w:r>
        <w:rPr>
          <w:rFonts w:ascii="Georgia" w:cs="Georgia" w:eastAsia="Georgia" w:hAnsi="Georgia"/>
          <w:sz w:val="21"/>
          <w:szCs w:val="21"/>
        </w:rPr>
        <w:t xml:space="preserve">vagal</w:t>
      </w:r>
      <w:r>
        <w:rPr>
          <w:rFonts w:ascii="Georgia" w:cs="Georgia" w:eastAsia="Georgia" w:hAnsi="Georgia"/>
          <w:color w:val="555555"/>
          <w:sz w:val="19"/>
          <w:szCs w:val="19"/>
        </w:rPr>
        <w:t xml:space="preserve">  Ch. 8, Ch. 9</w:t>
      </w:r>
    </w:p>
    <w:p>
      <w:pPr>
        <w:spacing w:after="60" w:line="260"/>
        <w:ind w:left="360" w:hanging="360"/>
      </w:pPr>
      <w:r>
        <w:rPr>
          <w:rFonts w:ascii="Georgia" w:cs="Georgia" w:eastAsia="Georgia" w:hAnsi="Georgia"/>
          <w:sz w:val="21"/>
          <w:szCs w:val="21"/>
        </w:rPr>
        <w:t xml:space="preserve">vortex</w:t>
      </w:r>
      <w:r>
        <w:rPr>
          <w:rFonts w:ascii="Georgia" w:cs="Georgia" w:eastAsia="Georgia" w:hAnsi="Georgia"/>
          <w:color w:val="555555"/>
          <w:sz w:val="19"/>
          <w:szCs w:val="19"/>
        </w:rPr>
        <w:t xml:space="preserve">  Ch. 1, Ch. 6, Ch. 9, Ch. 10, Glossary</w:t>
      </w:r>
    </w:p>
    <w:p>
      <w:pPr>
        <w:spacing w:after="60" w:line="260"/>
        <w:ind w:left="360" w:hanging="360"/>
      </w:pPr>
      <w:r>
        <w:rPr>
          <w:rFonts w:ascii="Georgia" w:cs="Georgia" w:eastAsia="Georgia" w:hAnsi="Georgia"/>
          <w:sz w:val="21"/>
          <w:szCs w:val="21"/>
        </w:rPr>
        <w:t xml:space="preserve">writhe</w:t>
      </w:r>
      <w:r>
        <w:rPr>
          <w:rFonts w:ascii="Georgia" w:cs="Georgia" w:eastAsia="Georgia" w:hAnsi="Georgia"/>
          <w:color w:val="555555"/>
          <w:sz w:val="19"/>
          <w:szCs w:val="19"/>
        </w:rPr>
        <w:t xml:space="preserve">  Ch. 6</w:t>
      </w:r>
    </w:p>
    <w:p>
      <w:pPr>
        <w:spacing w:after="60" w:line="260"/>
        <w:ind w:left="360" w:hanging="360"/>
      </w:pPr>
      <w:r>
        <w:rPr>
          <w:rFonts w:ascii="Georgia" w:cs="Georgia" w:eastAsia="Georgia" w:hAnsi="Georgia"/>
          <w:sz w:val="21"/>
          <w:szCs w:val="21"/>
        </w:rPr>
        <w:t xml:space="preserve">zeta</w:t>
      </w:r>
      <w:r>
        <w:rPr>
          <w:rFonts w:ascii="Georgia" w:cs="Georgia" w:eastAsia="Georgia" w:hAnsi="Georgia"/>
          <w:color w:val="555555"/>
          <w:sz w:val="19"/>
          <w:szCs w:val="19"/>
        </w:rPr>
        <w:t xml:space="preserve">  Ch. 1, Ch. 4, Ch. 6, Ch. 9, Ch. 10, Glossary</w:t>
      </w:r>
    </w:p>
    <w:p>
      <w:pPr>
        <w:spacing w:after="60" w:line="260"/>
        <w:ind w:left="360" w:hanging="360"/>
      </w:pPr>
      <w:r>
        <w:rPr>
          <w:rFonts w:ascii="Georgia" w:cs="Georgia" w:eastAsia="Georgia" w:hAnsi="Georgia"/>
          <w:sz w:val="21"/>
          <w:szCs w:val="21"/>
        </w:rPr>
        <w:t xml:space="preserve">Zurek</w:t>
      </w:r>
      <w:r>
        <w:rPr>
          <w:rFonts w:ascii="Georgia" w:cs="Georgia" w:eastAsia="Georgia" w:hAnsi="Georgia"/>
          <w:color w:val="555555"/>
          <w:sz w:val="19"/>
          <w:szCs w:val="19"/>
        </w:rPr>
        <w:t xml:space="preserve">  Ch. 3</w:t>
      </w:r>
    </w:p>
    <w:sectPr>
      <w:headerReference w:type="default" r:id="rId7"/>
      <w:headerReference w:type="first" r:id="rId8"/>
      <w:footerReference w:type="default" r:id="rId9"/>
      <w:footerReference w:type="first" r:id="rId10"/>
      <w:pgSz w:w="12240" w:h="15840"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555555"/>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Georgia" w:cs="Georgia" w:eastAsia="Georgia" w:hAnsi="Georgia"/>
        <w:color w:val="777777"/>
        <w:sz w:val="17"/>
        <w:szCs w:val="17"/>
      </w:rPr>
      <w:t xml:space="preserve">The Evolving Receiver · KW Norton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abstractNum w:abstractNumId="43" w15:restartNumberingAfterBreak="0">
    <w:multiLevelType w:val="hybridMultilevel"/>
    <w:lvl w:ilvl="0" w15:tentative="1">
      <w:start w:val="1"/>
      <w:numFmt w:val="decimal"/>
      <w:lvlText w:val="%1."/>
      <w:lvlJc w:val="left"/>
      <w:pPr>
        <w:ind w:left="720" w:hanging="360"/>
      </w:pPr>
    </w:lvl>
  </w:abstractNum>
  <w:abstractNum w:abstractNumId="44" w15:restartNumberingAfterBreak="0">
    <w:multiLevelType w:val="hybridMultilevel"/>
    <w:lvl w:ilvl="0" w15:tentative="1">
      <w:start w:val="1"/>
      <w:numFmt w:val="decimal"/>
      <w:lvlText w:val="%1."/>
      <w:lvlJc w:val="left"/>
      <w:pPr>
        <w:ind w:left="720" w:hanging="360"/>
      </w:pPr>
    </w:lvl>
  </w:abstractNum>
  <w:abstractNum w:abstractNumId="45" w15:restartNumberingAfterBreak="0">
    <w:multiLevelType w:val="hybridMultilevel"/>
    <w:lvl w:ilvl="0" w15:tentative="1">
      <w:start w:val="1"/>
      <w:numFmt w:val="decimal"/>
      <w:lvlText w:val="%1."/>
      <w:lvlJc w:val="left"/>
      <w:pPr>
        <w:ind w:left="720" w:hanging="360"/>
      </w:pPr>
    </w:lvl>
  </w:abstractNum>
  <w:abstractNum w:abstractNumId="46" w15:restartNumberingAfterBreak="0">
    <w:multiLevelType w:val="hybridMultilevel"/>
    <w:lvl w:ilvl="0" w15:tentative="1">
      <w:start w:val="1"/>
      <w:numFmt w:val="decimal"/>
      <w:lvlText w:val="%1."/>
      <w:lvlJc w:val="left"/>
      <w:pPr>
        <w:ind w:left="720" w:hanging="360"/>
      </w:pPr>
    </w:lvl>
  </w:abstractNum>
  <w:abstractNum w:abstractNumId="47" w15:restartNumberingAfterBreak="0">
    <w:multiLevelType w:val="hybridMultilevel"/>
    <w:lvl w:ilvl="0" w15:tentative="1">
      <w:start w:val="1"/>
      <w:numFmt w:val="decimal"/>
      <w:lvlText w:val="%1."/>
      <w:lvlJc w:val="left"/>
      <w:pPr>
        <w:ind w:left="720" w:hanging="360"/>
      </w:pPr>
    </w:lvl>
  </w:abstractNum>
  <w:abstractNum w:abstractNumId="48" w15:restartNumberingAfterBreak="0">
    <w:multiLevelType w:val="hybridMultilevel"/>
    <w:lvl w:ilvl="0" w15:tentative="1">
      <w:start w:val="1"/>
      <w:numFmt w:val="decimal"/>
      <w:lvlText w:val="%1."/>
      <w:lvlJc w:val="left"/>
      <w:pPr>
        <w:ind w:left="720" w:hanging="360"/>
      </w:pPr>
    </w:lvl>
  </w:abstractNum>
  <w:abstractNum w:abstractNumId="49" w15:restartNumberingAfterBreak="0">
    <w:multiLevelType w:val="hybridMultilevel"/>
    <w:lvl w:ilvl="0" w15:tentative="1">
      <w:start w:val="1"/>
      <w:numFmt w:val="decimal"/>
      <w:lvlText w:val="%1."/>
      <w:lvlJc w:val="left"/>
      <w:pPr>
        <w:ind w:left="720" w:hanging="360"/>
      </w:pPr>
    </w:lvl>
  </w:abstractNum>
  <w:abstractNum w:abstractNumId="50" w15:restartNumberingAfterBreak="0">
    <w:multiLevelType w:val="hybridMultilevel"/>
    <w:lvl w:ilvl="0" w15:tentative="1">
      <w:start w:val="1"/>
      <w:numFmt w:val="decimal"/>
      <w:lvlText w:val="%1."/>
      <w:lvlJc w:val="left"/>
      <w:pPr>
        <w:ind w:left="720" w:hanging="360"/>
      </w:pPr>
    </w:lvl>
  </w:abstractNum>
  <w:abstractNum w:abstractNumId="51" w15:restartNumberingAfterBreak="0">
    <w:multiLevelType w:val="hybridMultilevel"/>
    <w:lvl w:ilvl="0" w15:tentative="1">
      <w:start w:val="1"/>
      <w:numFmt w:val="decimal"/>
      <w:lvlText w:val="%1."/>
      <w:lvlJc w:val="left"/>
      <w:pPr>
        <w:ind w:left="720" w:hanging="360"/>
      </w:pPr>
    </w:lvl>
  </w:abstractNum>
  <w:abstractNum w:abstractNumId="52" w15:restartNumberingAfterBreak="0">
    <w:multiLevelType w:val="hybridMultilevel"/>
    <w:lvl w:ilvl="0" w15:tentative="1">
      <w:start w:val="1"/>
      <w:numFmt w:val="decimal"/>
      <w:lvlText w:val="%1."/>
      <w:lvlJc w:val="left"/>
      <w:pPr>
        <w:ind w:left="720" w:hanging="360"/>
      </w:pPr>
    </w:lvl>
  </w:abstractNum>
  <w:abstractNum w:abstractNumId="53" w15:restartNumberingAfterBreak="0">
    <w:multiLevelType w:val="hybridMultilevel"/>
    <w:lvl w:ilvl="0" w15:tentative="1">
      <w:start w:val="1"/>
      <w:numFmt w:val="decimal"/>
      <w:lvlText w:val="%1."/>
      <w:lvlJc w:val="left"/>
      <w:pPr>
        <w:ind w:left="720" w:hanging="360"/>
      </w:pPr>
    </w:lvl>
  </w:abstractNum>
  <w:abstractNum w:abstractNumId="54" w15:restartNumberingAfterBreak="0">
    <w:multiLevelType w:val="hybridMultilevel"/>
    <w:lvl w:ilvl="0" w15:tentative="1">
      <w:start w:val="1"/>
      <w:numFmt w:val="decimal"/>
      <w:lvlText w:val="%1."/>
      <w:lvlJc w:val="left"/>
      <w:pPr>
        <w:ind w:left="720" w:hanging="360"/>
      </w:pPr>
    </w:lvl>
  </w:abstractNum>
  <w:abstractNum w:abstractNumId="55" w15:restartNumberingAfterBreak="0">
    <w:multiLevelType w:val="hybridMultilevel"/>
    <w:lvl w:ilvl="0" w15:tentative="1">
      <w:start w:val="1"/>
      <w:numFmt w:val="decimal"/>
      <w:lvlText w:val="%1."/>
      <w:lvlJc w:val="left"/>
      <w:pPr>
        <w:ind w:left="720" w:hanging="360"/>
      </w:pPr>
    </w:lvl>
  </w:abstractNum>
  <w:abstractNum w:abstractNumId="56" w15:restartNumberingAfterBreak="0">
    <w:multiLevelType w:val="hybridMultilevel"/>
    <w:lvl w:ilvl="0" w15:tentative="1">
      <w:start w:val="1"/>
      <w:numFmt w:val="decimal"/>
      <w:lvlText w:val="%1."/>
      <w:lvlJc w:val="left"/>
      <w:pPr>
        <w:ind w:left="720" w:hanging="360"/>
      </w:pPr>
    </w:lvl>
  </w:abstractNum>
  <w:abstractNum w:abstractNumId="57" w15:restartNumberingAfterBreak="0">
    <w:multiLevelType w:val="hybridMultilevel"/>
    <w:lvl w:ilvl="0" w15:tentative="1">
      <w:start w:val="1"/>
      <w:numFmt w:val="decimal"/>
      <w:lvlText w:val="%1."/>
      <w:lvlJc w:val="left"/>
      <w:pPr>
        <w:ind w:left="720" w:hanging="360"/>
      </w:pPr>
    </w:lvl>
  </w:abstractNum>
  <w:abstractNum w:abstractNumId="58" w15:restartNumberingAfterBreak="0">
    <w:multiLevelType w:val="hybridMultilevel"/>
    <w:lvl w:ilvl="0" w15:tentative="1">
      <w:start w:val="1"/>
      <w:numFmt w:val="decimal"/>
      <w:lvlText w:val="%1."/>
      <w:lvlJc w:val="left"/>
      <w:pPr>
        <w:ind w:left="720" w:hanging="360"/>
      </w:pPr>
    </w:lvl>
  </w:abstractNum>
  <w:abstractNum w:abstractNumId="59" w15:restartNumberingAfterBreak="0">
    <w:multiLevelType w:val="hybridMultilevel"/>
    <w:lvl w:ilvl="0" w15:tentative="1">
      <w:start w:val="1"/>
      <w:numFmt w:val="decimal"/>
      <w:lvlText w:val="%1."/>
      <w:lvlJc w:val="left"/>
      <w:pPr>
        <w:ind w:left="720" w:hanging="360"/>
      </w:pPr>
    </w:lvl>
  </w:abstractNum>
  <w:abstractNum w:abstractNumId="60" w15:restartNumberingAfterBreak="0">
    <w:multiLevelType w:val="hybridMultilevel"/>
    <w:lvl w:ilvl="0" w15:tentative="1">
      <w:start w:val="1"/>
      <w:numFmt w:val="decimal"/>
      <w:lvlText w:val="%1."/>
      <w:lvlJc w:val="left"/>
      <w:pPr>
        <w:ind w:left="720" w:hanging="360"/>
      </w:pPr>
    </w:lvl>
  </w:abstractNum>
  <w:abstractNum w:abstractNumId="61" w15:restartNumberingAfterBreak="0">
    <w:multiLevelType w:val="hybridMultilevel"/>
    <w:lvl w:ilvl="0" w15:tentative="1">
      <w:start w:val="1"/>
      <w:numFmt w:val="decimal"/>
      <w:lvlText w:val="%1."/>
      <w:lvlJc w:val="left"/>
      <w:pPr>
        <w:ind w:left="720" w:hanging="360"/>
      </w:pPr>
    </w:lvl>
  </w:abstractNum>
  <w:abstractNum w:abstractNumId="6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4"/>
    <w:lvlOverride w:ilvl="0">
      <w:startOverride w:val="1"/>
    </w:lvlOverride>
  </w:num>
  <w:num w:numId="4">
    <w:abstractNumId w:val="5"/>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Georgia" w:cs="Georgia" w:eastAsia="Georgia" w:hAnsi="Georgia"/>
      <w:b/>
      <w:bCs/>
      <w:sz w:val="34"/>
      <w:szCs w:val="34"/>
    </w:rPr>
  </w:style>
  <w:style w:type="paragraph" w:styleId="Heading2">
    <w:name w:val="Heading 2"/>
    <w:basedOn w:val="Normal"/>
    <w:next w:val="Normal"/>
    <w:qFormat/>
    <w:pPr>
      <w:spacing w:after="160" w:before="300"/>
      <w:outlineLvl w:val="1"/>
    </w:pPr>
    <w:rPr>
      <w:rFonts w:ascii="Georgia" w:cs="Georgia" w:eastAsia="Georgia" w:hAnsi="Georgia"/>
      <w:b/>
      <w:bCs/>
      <w:sz w:val="26"/>
      <w:szCs w:val="26"/>
    </w:rPr>
  </w:style>
  <w:style w:type="paragraph" w:styleId="Heading3">
    <w:name w:val="Heading 3"/>
    <w:basedOn w:val="Normal"/>
    <w:next w:val="Normal"/>
    <w:qFormat/>
    <w:pPr>
      <w:spacing w:after="120" w:before="240"/>
      <w:outlineLvl w:val="2"/>
    </w:pPr>
    <w:rPr>
      <w:rFonts w:ascii="Georgia" w:cs="Georgia" w:eastAsia="Georgia" w:hAnsi="Georgia"/>
      <w:b/>
      <w:bCs/>
      <w:sz w:val="23"/>
      <w:szCs w:val="23"/>
    </w:rPr>
  </w:style>
  <w:style w:type="paragraph" w:styleId="Heading4">
    <w:name w:val="Heading 4"/>
    <w:basedOn w:val="Normal"/>
    <w:next w:val="Normal"/>
    <w:qFormat/>
    <w:pPr>
      <w:spacing w:after="100" w:before="200"/>
      <w:outlineLvl w:val="3"/>
    </w:pPr>
    <w:rPr>
      <w:rFonts w:ascii="Georgia" w:cs="Georgia" w:eastAsia="Georgia" w:hAnsi="Georgia"/>
      <w:b/>
      <w:bCs/>
      <w:i/>
      <w:i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Receiver</dc:title>
  <dc:creator>KW Norton</dc:creator>
  <dc:description>Riemann, Quantum Science, and Evolution</dc:description>
  <cp:lastModifiedBy>Un-named</cp:lastModifiedBy>
  <cp:revision>1</cp:revision>
  <dcterms:created xsi:type="dcterms:W3CDTF">2026-07-26T16:27:04.068Z</dcterms:created>
  <dcterms:modified xsi:type="dcterms:W3CDTF">2026-07-26T16:27:04.068Z</dcterms:modified>
</cp:coreProperties>
</file>

<file path=docProps/custom.xml><?xml version="1.0" encoding="utf-8"?>
<Properties xmlns="http://schemas.openxmlformats.org/officeDocument/2006/custom-properties" xmlns:vt="http://schemas.openxmlformats.org/officeDocument/2006/docPropsVTypes"/>
</file>